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E9EA" w14:textId="66DDDAD2" w:rsidR="00570198" w:rsidRPr="009D0B4B" w:rsidRDefault="00570198" w:rsidP="00365E22">
      <w:pPr>
        <w:pStyle w:val="Nessunaspaziatura"/>
        <w:spacing w:after="60" w:line="276" w:lineRule="auto"/>
        <w:jc w:val="center"/>
        <w:rPr>
          <w:rStyle w:val="Nessuno"/>
          <w:b/>
          <w:bCs/>
        </w:rPr>
      </w:pPr>
      <w:r w:rsidRPr="009D0B4B">
        <w:rPr>
          <w:rStyle w:val="Nessuno"/>
          <w:b/>
          <w:bCs/>
        </w:rPr>
        <w:t xml:space="preserve">RELAZIONE </w:t>
      </w:r>
      <w:r w:rsidR="00F52609" w:rsidRPr="009D0B4B">
        <w:rPr>
          <w:rStyle w:val="Nessuno"/>
          <w:b/>
          <w:bCs/>
        </w:rPr>
        <w:t>TECNICA</w:t>
      </w:r>
    </w:p>
    <w:p w14:paraId="13C9E6DF" w14:textId="77777777" w:rsidR="00D027C6" w:rsidRDefault="00D027C6" w:rsidP="00365E22">
      <w:pPr>
        <w:pStyle w:val="Nessunaspaziatura"/>
        <w:spacing w:after="60" w:line="276" w:lineRule="auto"/>
        <w:jc w:val="both"/>
        <w:rPr>
          <w:lang w:val="it-IT"/>
        </w:rPr>
      </w:pPr>
    </w:p>
    <w:p w14:paraId="10F44F33" w14:textId="235BCCBB" w:rsidR="00030388" w:rsidRPr="009D0B4B" w:rsidRDefault="00EA28B7" w:rsidP="00365E22">
      <w:pPr>
        <w:pStyle w:val="Nessunaspaziatura"/>
        <w:spacing w:after="60" w:line="276" w:lineRule="auto"/>
        <w:jc w:val="both"/>
        <w:rPr>
          <w:rStyle w:val="Nessuno"/>
        </w:rPr>
      </w:pPr>
      <w:r w:rsidRPr="009D0B4B">
        <w:rPr>
          <w:lang w:val="it-IT"/>
        </w:rPr>
        <w:t xml:space="preserve">Il presente decreto </w:t>
      </w:r>
      <w:r w:rsidR="00030388" w:rsidRPr="009D0B4B">
        <w:rPr>
          <w:lang w:val="it-IT"/>
        </w:rPr>
        <w:t>legislativo è adottato ai sensi dell’articolo 24, comm</w:t>
      </w:r>
      <w:r w:rsidR="00135F7E">
        <w:rPr>
          <w:lang w:val="it-IT"/>
        </w:rPr>
        <w:t>i 1 e</w:t>
      </w:r>
      <w:r w:rsidR="00030388" w:rsidRPr="009D0B4B">
        <w:rPr>
          <w:lang w:val="it-IT"/>
        </w:rPr>
        <w:t xml:space="preserve"> 2, della legge 23 settembre 2025, n. 132, recante </w:t>
      </w:r>
      <w:r w:rsidR="00030388" w:rsidRPr="009D0B4B">
        <w:rPr>
          <w:rStyle w:val="Nessuno"/>
        </w:rPr>
        <w:t>«</w:t>
      </w:r>
      <w:r w:rsidR="00030388" w:rsidRPr="009D0B4B">
        <w:rPr>
          <w:rStyle w:val="Nessuno"/>
          <w:i/>
          <w:iCs/>
        </w:rPr>
        <w:t>Disposizioni e deleghe al Governo in materia di intelligenza artificiale</w:t>
      </w:r>
      <w:r w:rsidR="00030388" w:rsidRPr="009D0B4B">
        <w:rPr>
          <w:rStyle w:val="Nessuno"/>
        </w:rPr>
        <w:t>» ed è finalizzato all’adeguamento della normativa nazionale al regolamento (UE) 2024/1689 (</w:t>
      </w:r>
      <w:r w:rsidR="0026166E" w:rsidRPr="009D0B4B">
        <w:rPr>
          <w:rStyle w:val="Nessuno"/>
        </w:rPr>
        <w:t xml:space="preserve">“Regolamento IA”, o anche </w:t>
      </w:r>
      <w:r w:rsidR="00030388" w:rsidRPr="009D0B4B">
        <w:rPr>
          <w:rStyle w:val="Nessuno"/>
        </w:rPr>
        <w:t xml:space="preserve">“AI Act”). </w:t>
      </w:r>
    </w:p>
    <w:p w14:paraId="1BE92588" w14:textId="3F8193E4" w:rsidR="00030388" w:rsidRPr="009D0B4B" w:rsidRDefault="00030388" w:rsidP="00365E22">
      <w:pPr>
        <w:pStyle w:val="Nessunaspaziatura"/>
        <w:spacing w:after="60" w:line="276" w:lineRule="auto"/>
        <w:jc w:val="both"/>
        <w:rPr>
          <w:lang w:val="it-IT"/>
        </w:rPr>
      </w:pPr>
      <w:r w:rsidRPr="009D0B4B">
        <w:rPr>
          <w:lang w:val="it-IT"/>
        </w:rPr>
        <w:t xml:space="preserve">Il citato regolamento europeo introduce un quadro normativo uniforme per lo sviluppo, l’immissione sul mercato, la messa in servizio e l’utilizzo dei sistemi di intelligenza artificiale nell’Unione europea, fondato su un approccio proporzionato al rischio e articolato in relazione alle diverse categorie di sistemi (rischio inaccettabile, alto rischio, rischio limitato, rischio minimo o nullo). Esso demanda agli Stati membri, </w:t>
      </w:r>
      <w:r w:rsidRPr="009D0B4B">
        <w:rPr>
          <w:i/>
          <w:iCs/>
          <w:lang w:val="it-IT"/>
        </w:rPr>
        <w:t>inter alia</w:t>
      </w:r>
      <w:r w:rsidRPr="009D0B4B">
        <w:rPr>
          <w:lang w:val="it-IT"/>
        </w:rPr>
        <w:t>, la designazione delle autorità competenti e l’adozione delle misure necessarie a garantirne l’effettiva applicazione.</w:t>
      </w:r>
    </w:p>
    <w:p w14:paraId="5A5184AF" w14:textId="628EA638" w:rsidR="00030388" w:rsidRPr="009D0B4B" w:rsidRDefault="00030388" w:rsidP="00365E22">
      <w:pPr>
        <w:pStyle w:val="Nessunaspaziatura"/>
        <w:spacing w:after="60" w:line="276" w:lineRule="auto"/>
        <w:jc w:val="both"/>
        <w:rPr>
          <w:lang w:val="it-IT"/>
        </w:rPr>
      </w:pPr>
      <w:r w:rsidRPr="009D0B4B">
        <w:rPr>
          <w:lang w:val="it-IT"/>
        </w:rPr>
        <w:t xml:space="preserve">Il decreto in commento disciplina, in attuazione dei criteri di delega di cui alle lettere </w:t>
      </w:r>
      <w:r w:rsidR="008E1FD9" w:rsidRPr="005A6641">
        <w:rPr>
          <w:rStyle w:val="Nessuno"/>
          <w:color w:val="000000" w:themeColor="text1"/>
        </w:rPr>
        <w:t xml:space="preserve">a), b), c), d), </w:t>
      </w:r>
      <w:r w:rsidR="008E1FD9" w:rsidRPr="005A6641">
        <w:rPr>
          <w:color w:val="000000" w:themeColor="text1"/>
          <w:lang w:val="it-IT"/>
        </w:rPr>
        <w:t xml:space="preserve">e) f), g), i), l), m) e n) </w:t>
      </w:r>
      <w:r w:rsidRPr="009D0B4B">
        <w:rPr>
          <w:lang w:val="it-IT"/>
        </w:rPr>
        <w:t>dell’articolo 24</w:t>
      </w:r>
      <w:r w:rsidR="005C6C21" w:rsidRPr="009D0B4B">
        <w:rPr>
          <w:lang w:val="it-IT"/>
        </w:rPr>
        <w:t>, comma 2,</w:t>
      </w:r>
      <w:r w:rsidRPr="009D0B4B">
        <w:rPr>
          <w:lang w:val="it-IT"/>
        </w:rPr>
        <w:t xml:space="preserve"> della legge n. 132 del 2025, il sistema nazionale di attuazione dell’AI Act, provvedendo</w:t>
      </w:r>
      <w:r w:rsidR="005A3DA9">
        <w:rPr>
          <w:lang w:val="it-IT"/>
        </w:rPr>
        <w:t>,</w:t>
      </w:r>
      <w:r w:rsidRPr="009D0B4B">
        <w:rPr>
          <w:lang w:val="it-IT"/>
        </w:rPr>
        <w:t xml:space="preserve"> </w:t>
      </w:r>
      <w:r w:rsidR="005A3DA9">
        <w:rPr>
          <w:lang w:val="it-IT"/>
        </w:rPr>
        <w:t>tra l’altro,</w:t>
      </w:r>
      <w:r w:rsidRPr="009D0B4B">
        <w:rPr>
          <w:lang w:val="it-IT"/>
        </w:rPr>
        <w:t xml:space="preserve"> a:</w:t>
      </w:r>
      <w:r w:rsidR="00982415">
        <w:rPr>
          <w:lang w:val="it-IT"/>
        </w:rPr>
        <w:t xml:space="preserve"> </w:t>
      </w:r>
    </w:p>
    <w:p w14:paraId="045C02D9" w14:textId="77777777" w:rsidR="00030388" w:rsidRPr="009D0B4B" w:rsidRDefault="00030388" w:rsidP="00365E22">
      <w:pPr>
        <w:pStyle w:val="Nessunaspaziatura"/>
        <w:numPr>
          <w:ilvl w:val="0"/>
          <w:numId w:val="8"/>
        </w:numPr>
        <w:spacing w:after="60" w:line="276" w:lineRule="auto"/>
        <w:jc w:val="both"/>
        <w:rPr>
          <w:lang w:val="it-IT"/>
        </w:rPr>
      </w:pPr>
      <w:r w:rsidRPr="009D0B4B">
        <w:rPr>
          <w:lang w:val="it-IT"/>
        </w:rPr>
        <w:t>attribuire alle autorità designate ai sensi dell’articolo 20 della medesima legge i poteri di vigilanza, ispettivi e sanzionatori previsti dal regolamento europeo;</w:t>
      </w:r>
    </w:p>
    <w:p w14:paraId="58E5E711" w14:textId="23B147AA" w:rsidR="00030388" w:rsidRPr="009D0B4B" w:rsidRDefault="00030388" w:rsidP="00365E22">
      <w:pPr>
        <w:pStyle w:val="Nessunaspaziatura"/>
        <w:numPr>
          <w:ilvl w:val="0"/>
          <w:numId w:val="8"/>
        </w:numPr>
        <w:spacing w:after="60" w:line="276" w:lineRule="auto"/>
        <w:jc w:val="both"/>
        <w:rPr>
          <w:lang w:val="it-IT"/>
        </w:rPr>
      </w:pPr>
      <w:r w:rsidRPr="009D0B4B">
        <w:rPr>
          <w:lang w:val="it-IT"/>
        </w:rPr>
        <w:t>definire i meccanismi di coordinamento</w:t>
      </w:r>
      <w:r w:rsidR="00106422" w:rsidRPr="009D0B4B">
        <w:rPr>
          <w:lang w:val="it-IT"/>
        </w:rPr>
        <w:t xml:space="preserve"> informativo e operativo</w:t>
      </w:r>
      <w:r w:rsidRPr="009D0B4B">
        <w:rPr>
          <w:lang w:val="it-IT"/>
        </w:rPr>
        <w:t>;</w:t>
      </w:r>
    </w:p>
    <w:p w14:paraId="06DE65C6" w14:textId="77777777" w:rsidR="00030388" w:rsidRPr="009D0B4B" w:rsidRDefault="00030388" w:rsidP="00365E22">
      <w:pPr>
        <w:pStyle w:val="Nessunaspaziatura"/>
        <w:numPr>
          <w:ilvl w:val="0"/>
          <w:numId w:val="8"/>
        </w:numPr>
        <w:spacing w:after="60" w:line="276" w:lineRule="auto"/>
        <w:jc w:val="both"/>
        <w:rPr>
          <w:lang w:val="it-IT"/>
        </w:rPr>
      </w:pPr>
      <w:r w:rsidRPr="009D0B4B">
        <w:rPr>
          <w:lang w:val="it-IT"/>
        </w:rPr>
        <w:t>disciplinare il sistema di notifica e il sistema di vigilanza del mercato;</w:t>
      </w:r>
    </w:p>
    <w:p w14:paraId="640B04BC" w14:textId="33E40349" w:rsidR="00106422" w:rsidRPr="009D0B4B" w:rsidRDefault="00106422" w:rsidP="00365E22">
      <w:pPr>
        <w:pStyle w:val="Nessunaspaziatura"/>
        <w:numPr>
          <w:ilvl w:val="0"/>
          <w:numId w:val="8"/>
        </w:numPr>
        <w:spacing w:after="60" w:line="276" w:lineRule="auto"/>
        <w:jc w:val="both"/>
        <w:rPr>
          <w:lang w:val="it-IT"/>
        </w:rPr>
      </w:pPr>
      <w:r w:rsidRPr="009D0B4B">
        <w:rPr>
          <w:lang w:val="it-IT"/>
        </w:rPr>
        <w:t>apportare le necessarie modifiche e integrazioni alla normativa vigente, ivi inclusa quella in materia bancaria, finanziaria, assicurativa e dei servizi di pagamento</w:t>
      </w:r>
      <w:r w:rsidR="00E852AE" w:rsidRPr="009D0B4B">
        <w:rPr>
          <w:lang w:val="it-IT"/>
        </w:rPr>
        <w:t>;</w:t>
      </w:r>
    </w:p>
    <w:p w14:paraId="1CF3144E" w14:textId="77777777" w:rsidR="00030388" w:rsidRPr="009D0B4B" w:rsidRDefault="00030388" w:rsidP="00365E22">
      <w:pPr>
        <w:pStyle w:val="Nessunaspaziatura"/>
        <w:numPr>
          <w:ilvl w:val="0"/>
          <w:numId w:val="8"/>
        </w:numPr>
        <w:spacing w:after="60" w:line="276" w:lineRule="auto"/>
        <w:jc w:val="both"/>
        <w:rPr>
          <w:lang w:val="it-IT"/>
        </w:rPr>
      </w:pPr>
      <w:r w:rsidRPr="009D0B4B">
        <w:rPr>
          <w:lang w:val="it-IT"/>
        </w:rPr>
        <w:t>introdurre il quadro sanzionatorio nazionale in conformità all’articolo 99 dell’AI Act;</w:t>
      </w:r>
    </w:p>
    <w:p w14:paraId="345EB0BB" w14:textId="4D5ECCE7" w:rsidR="00030388" w:rsidRPr="009D0B4B" w:rsidRDefault="00030388" w:rsidP="00365E22">
      <w:pPr>
        <w:pStyle w:val="Nessunaspaziatura"/>
        <w:numPr>
          <w:ilvl w:val="0"/>
          <w:numId w:val="8"/>
        </w:numPr>
        <w:spacing w:after="60" w:line="276" w:lineRule="auto"/>
        <w:jc w:val="both"/>
        <w:rPr>
          <w:lang w:val="it-IT"/>
        </w:rPr>
      </w:pPr>
      <w:r w:rsidRPr="009D0B4B">
        <w:rPr>
          <w:lang w:val="it-IT"/>
        </w:rPr>
        <w:t>istituire e regolare gli spazi di sperimentazione normativa</w:t>
      </w:r>
      <w:r w:rsidR="00E852AE" w:rsidRPr="009D0B4B">
        <w:rPr>
          <w:lang w:val="it-IT"/>
        </w:rPr>
        <w:t>.</w:t>
      </w:r>
    </w:p>
    <w:p w14:paraId="5CF6182C" w14:textId="5F7821B7" w:rsidR="00030388" w:rsidRPr="009D0B4B" w:rsidRDefault="00030388" w:rsidP="00365E22">
      <w:pPr>
        <w:pStyle w:val="Nessunaspaziatura"/>
        <w:spacing w:after="60" w:line="276" w:lineRule="auto"/>
        <w:jc w:val="both"/>
        <w:rPr>
          <w:lang w:val="it-IT"/>
        </w:rPr>
      </w:pPr>
      <w:r w:rsidRPr="009D0B4B">
        <w:rPr>
          <w:lang w:val="it-IT"/>
        </w:rPr>
        <w:t xml:space="preserve">All’adempimento dei compiti e delle funzioni previsti dal presente decreto, le </w:t>
      </w:r>
      <w:r w:rsidR="00106422" w:rsidRPr="009D0B4B">
        <w:rPr>
          <w:lang w:val="it-IT"/>
        </w:rPr>
        <w:t>A</w:t>
      </w:r>
      <w:r w:rsidRPr="009D0B4B">
        <w:rPr>
          <w:lang w:val="it-IT"/>
        </w:rPr>
        <w:t xml:space="preserve">utorità e le </w:t>
      </w:r>
      <w:r w:rsidR="00106422" w:rsidRPr="009D0B4B">
        <w:rPr>
          <w:lang w:val="it-IT"/>
        </w:rPr>
        <w:t>A</w:t>
      </w:r>
      <w:r w:rsidRPr="009D0B4B">
        <w:rPr>
          <w:lang w:val="it-IT"/>
        </w:rPr>
        <w:t>mministrazioni interessate provvedono nell’ambito delle risorse umane, strumentali e finanziarie disponibili a legislazione vigente, secondo i rispettivi ordinamenti</w:t>
      </w:r>
      <w:r w:rsidR="00F8100F" w:rsidRPr="009D0B4B">
        <w:rPr>
          <w:lang w:val="it-IT"/>
        </w:rPr>
        <w:t>, come stabilito dal comma 6 del richiamato articolo 24</w:t>
      </w:r>
      <w:r w:rsidRPr="009D0B4B">
        <w:rPr>
          <w:lang w:val="it-IT"/>
        </w:rPr>
        <w:t>. Le disposizioni del provvedimento hanno pertanto carattere prevalentemente ordinamentale e non comportano nuovi o maggiori oneri a carico della finanza pubblica.</w:t>
      </w:r>
    </w:p>
    <w:p w14:paraId="680A4ACA" w14:textId="77777777" w:rsidR="00030388" w:rsidRPr="009D0B4B" w:rsidRDefault="00030388" w:rsidP="00365E22">
      <w:pPr>
        <w:pStyle w:val="Nessunaspaziatura"/>
        <w:spacing w:after="60" w:line="276" w:lineRule="auto"/>
        <w:jc w:val="both"/>
        <w:rPr>
          <w:lang w:val="it-IT"/>
        </w:rPr>
      </w:pPr>
      <w:r w:rsidRPr="009D0B4B">
        <w:rPr>
          <w:lang w:val="it-IT"/>
        </w:rPr>
        <w:t>Si riporta, di seguito, una sintesi delle disposizioni del decreto in esame, con l’indicazione dell’assenza di riflessi finanziari.</w:t>
      </w:r>
    </w:p>
    <w:p w14:paraId="47CCD6B0" w14:textId="77777777" w:rsidR="00B246CE" w:rsidRDefault="00B246CE" w:rsidP="00365E22">
      <w:pPr>
        <w:pStyle w:val="Nessunaspaziatura"/>
        <w:spacing w:after="60" w:line="276" w:lineRule="auto"/>
        <w:jc w:val="both"/>
        <w:rPr>
          <w:rStyle w:val="Nessuno"/>
          <w:color w:val="000000" w:themeColor="text1"/>
        </w:rPr>
      </w:pPr>
      <w:r w:rsidRPr="00841105">
        <w:rPr>
          <w:rStyle w:val="Nessuno"/>
          <w:color w:val="000000" w:themeColor="text1"/>
        </w:rPr>
        <w:t xml:space="preserve">Il proposto decreto legislativo si </w:t>
      </w:r>
      <w:r w:rsidRPr="00D557A3">
        <w:rPr>
          <w:rStyle w:val="Nessuno"/>
          <w:color w:val="000000" w:themeColor="text1"/>
        </w:rPr>
        <w:t xml:space="preserve">compone di </w:t>
      </w:r>
      <w:r w:rsidRPr="00D557A3">
        <w:rPr>
          <w:rStyle w:val="Nessuno"/>
          <w:b/>
          <w:bCs/>
          <w:color w:val="000000" w:themeColor="text1"/>
        </w:rPr>
        <w:t>53 articoli suddivisi in 5 Capi</w:t>
      </w:r>
      <w:r w:rsidRPr="00D557A3">
        <w:rPr>
          <w:rStyle w:val="Nessuno"/>
          <w:color w:val="000000" w:themeColor="text1"/>
        </w:rPr>
        <w:t>.</w:t>
      </w:r>
    </w:p>
    <w:p w14:paraId="77E666BA" w14:textId="19C59BEC" w:rsidR="00A53D53" w:rsidRPr="006D7575" w:rsidRDefault="00B246CE" w:rsidP="00365E22">
      <w:pPr>
        <w:pStyle w:val="Nessunaspaziatura"/>
        <w:spacing w:after="60" w:line="276" w:lineRule="auto"/>
        <w:jc w:val="both"/>
        <w:rPr>
          <w:color w:val="000000" w:themeColor="text1"/>
          <w:lang w:val="it-IT"/>
        </w:rPr>
      </w:pPr>
      <w:r w:rsidRPr="00A76162">
        <w:rPr>
          <w:rStyle w:val="Nessuno"/>
          <w:color w:val="000000" w:themeColor="text1"/>
        </w:rPr>
        <w:t>Il Capo I è dedicato alle “Disposizioni generali”, il Capo II a</w:t>
      </w:r>
      <w:r>
        <w:rPr>
          <w:rStyle w:val="Nessuno"/>
          <w:color w:val="000000" w:themeColor="text1"/>
        </w:rPr>
        <w:t>i</w:t>
      </w:r>
      <w:r w:rsidRPr="00A76162">
        <w:rPr>
          <w:rStyle w:val="Nessuno"/>
          <w:color w:val="000000" w:themeColor="text1"/>
        </w:rPr>
        <w:t xml:space="preserve"> “</w:t>
      </w:r>
      <w:r w:rsidRPr="00A76162">
        <w:rPr>
          <w:lang w:val="it-IT"/>
        </w:rPr>
        <w:t>Poteri delle Autorità nazionali per l’intelligenza artificiale</w:t>
      </w:r>
      <w:r w:rsidRPr="00A76162">
        <w:rPr>
          <w:rStyle w:val="Nessuno"/>
          <w:color w:val="000000" w:themeColor="text1"/>
        </w:rPr>
        <w:t>”, il Capo III alla “</w:t>
      </w:r>
      <w:r w:rsidRPr="00A76162">
        <w:rPr>
          <w:lang w:val="it-IT"/>
        </w:rPr>
        <w:t>Intelligenza artificiale per i percorsi formativi, le professioni, il lavoro, la sanità e la pubblica amministrazione</w:t>
      </w:r>
      <w:r w:rsidRPr="00A76162">
        <w:rPr>
          <w:rStyle w:val="Nessuno"/>
          <w:color w:val="000000" w:themeColor="text1"/>
        </w:rPr>
        <w:t>”, il Capo IV al</w:t>
      </w:r>
      <w:r>
        <w:rPr>
          <w:rStyle w:val="Nessuno"/>
          <w:color w:val="000000" w:themeColor="text1"/>
        </w:rPr>
        <w:t>le</w:t>
      </w:r>
      <w:r w:rsidRPr="00A76162">
        <w:rPr>
          <w:rStyle w:val="Nessuno"/>
          <w:color w:val="000000" w:themeColor="text1"/>
        </w:rPr>
        <w:t xml:space="preserve"> “</w:t>
      </w:r>
      <w:r w:rsidRPr="00A76162">
        <w:rPr>
          <w:color w:val="000000" w:themeColor="text1"/>
          <w:lang w:val="it-IT"/>
        </w:rPr>
        <w:t>Informazioni aziendali ed esperienze tecnico-industriali concernenti dati, algoritmi e metodi matematici</w:t>
      </w:r>
      <w:r w:rsidRPr="00A76162">
        <w:rPr>
          <w:rStyle w:val="Nessuno"/>
          <w:color w:val="000000" w:themeColor="text1"/>
        </w:rPr>
        <w:t>”, il Capo V alle “</w:t>
      </w:r>
      <w:r w:rsidRPr="00A76162">
        <w:rPr>
          <w:rFonts w:eastAsia="Aptos"/>
          <w:kern w:val="2"/>
          <w:bdr w:val="none" w:sz="0" w:space="0" w:color="auto"/>
          <w:lang w:val="it-IT"/>
          <w14:ligatures w14:val="standardContextual"/>
        </w:rPr>
        <w:t>Disposizioni finanziarie</w:t>
      </w:r>
      <w:r w:rsidRPr="00A76162">
        <w:rPr>
          <w:rStyle w:val="Nessuno"/>
          <w:color w:val="000000" w:themeColor="text1"/>
        </w:rPr>
        <w:t>”</w:t>
      </w:r>
      <w:r>
        <w:rPr>
          <w:rStyle w:val="Nessuno"/>
          <w:color w:val="000000" w:themeColor="text1"/>
        </w:rPr>
        <w:t xml:space="preserve">. </w:t>
      </w:r>
    </w:p>
    <w:p w14:paraId="2431EC97" w14:textId="77777777" w:rsidR="006D7575" w:rsidRDefault="006D7575" w:rsidP="00365E22">
      <w:pPr>
        <w:pStyle w:val="Nessunaspaziatura"/>
        <w:spacing w:after="60" w:line="276" w:lineRule="auto"/>
        <w:jc w:val="both"/>
        <w:rPr>
          <w:rStyle w:val="Nessuno"/>
          <w:color w:val="000000" w:themeColor="text1"/>
        </w:rPr>
      </w:pPr>
      <w:r>
        <w:rPr>
          <w:rStyle w:val="Nessuno"/>
          <w:color w:val="000000" w:themeColor="text1"/>
        </w:rPr>
        <w:t xml:space="preserve">Il </w:t>
      </w:r>
      <w:r w:rsidRPr="00A71623">
        <w:rPr>
          <w:rStyle w:val="Nessuno"/>
          <w:b/>
          <w:bCs/>
          <w:color w:val="000000" w:themeColor="text1"/>
        </w:rPr>
        <w:t>Capo I</w:t>
      </w:r>
      <w:r>
        <w:rPr>
          <w:rStyle w:val="Nessuno"/>
          <w:color w:val="000000" w:themeColor="text1"/>
        </w:rPr>
        <w:t xml:space="preserve"> reca disposizioni generali e si compone di un unico articolo, dedicato alle definizioni.</w:t>
      </w:r>
    </w:p>
    <w:p w14:paraId="77C9632F" w14:textId="77777777" w:rsidR="00030388" w:rsidRPr="009D0B4B" w:rsidRDefault="00030388" w:rsidP="00365E22">
      <w:pPr>
        <w:pStyle w:val="Nessunaspaziatura"/>
        <w:spacing w:after="60" w:line="276" w:lineRule="auto"/>
        <w:jc w:val="both"/>
        <w:rPr>
          <w:lang w:val="it-IT"/>
        </w:rPr>
      </w:pPr>
      <w:r w:rsidRPr="009D0B4B">
        <w:rPr>
          <w:lang w:val="it-IT"/>
        </w:rPr>
        <w:t>L’</w:t>
      </w:r>
      <w:r w:rsidRPr="009D0B4B">
        <w:rPr>
          <w:b/>
          <w:bCs/>
          <w:lang w:val="it-IT"/>
        </w:rPr>
        <w:t xml:space="preserve">articolo 1 </w:t>
      </w:r>
      <w:r w:rsidRPr="009D0B4B">
        <w:rPr>
          <w:lang w:val="it-IT"/>
        </w:rPr>
        <w:t xml:space="preserve">reca le definizioni impiegate ai fini del decreto, in coordinamento con quelle contenute nell’articolo 3 dell’AI Act e con il quadro di </w:t>
      </w:r>
      <w:r w:rsidRPr="009D0B4B">
        <w:rPr>
          <w:i/>
          <w:iCs/>
          <w:lang w:val="it-IT"/>
        </w:rPr>
        <w:t>governance</w:t>
      </w:r>
      <w:r w:rsidRPr="009D0B4B">
        <w:rPr>
          <w:lang w:val="it-IT"/>
        </w:rPr>
        <w:t xml:space="preserve"> delineato dall’articolo 20 della legge n. 132 del 2025. La disposizione ha carattere ordinamentale e non comporta nuovi o maggiori oneri per la finanza pubblica.</w:t>
      </w:r>
    </w:p>
    <w:p w14:paraId="5DE4F777" w14:textId="1D51FCA3" w:rsidR="003A79BD" w:rsidRDefault="003A79BD" w:rsidP="00365E22">
      <w:pPr>
        <w:pStyle w:val="Nessunaspaziatura"/>
        <w:spacing w:after="60" w:line="276" w:lineRule="auto"/>
        <w:jc w:val="both"/>
        <w:rPr>
          <w:rStyle w:val="Nessuno"/>
          <w:color w:val="000000" w:themeColor="text1"/>
        </w:rPr>
      </w:pPr>
      <w:r>
        <w:rPr>
          <w:rStyle w:val="Nessuno"/>
          <w:color w:val="000000" w:themeColor="text1"/>
        </w:rPr>
        <w:lastRenderedPageBreak/>
        <w:t xml:space="preserve">Quanto al </w:t>
      </w:r>
      <w:r w:rsidRPr="004A54DE">
        <w:rPr>
          <w:rStyle w:val="Nessuno"/>
          <w:b/>
          <w:bCs/>
          <w:color w:val="000000" w:themeColor="text1"/>
        </w:rPr>
        <w:t>Capo II</w:t>
      </w:r>
      <w:r w:rsidR="004A54DE">
        <w:rPr>
          <w:rStyle w:val="Nessuno"/>
          <w:color w:val="000000" w:themeColor="text1"/>
        </w:rPr>
        <w:t xml:space="preserve"> </w:t>
      </w:r>
      <w:r w:rsidRPr="00A76162">
        <w:rPr>
          <w:rStyle w:val="Nessuno"/>
          <w:color w:val="000000" w:themeColor="text1"/>
        </w:rPr>
        <w:t>“</w:t>
      </w:r>
      <w:r w:rsidRPr="004A54DE">
        <w:rPr>
          <w:i/>
          <w:iCs/>
          <w:lang w:val="it-IT"/>
        </w:rPr>
        <w:t>Poteri delle Autorità nazionali per l’intelligenza artificiale</w:t>
      </w:r>
      <w:r w:rsidRPr="00A76162">
        <w:rPr>
          <w:rStyle w:val="Nessuno"/>
          <w:color w:val="000000" w:themeColor="text1"/>
        </w:rPr>
        <w:t>”</w:t>
      </w:r>
      <w:r>
        <w:rPr>
          <w:rStyle w:val="Nessuno"/>
          <w:color w:val="000000" w:themeColor="text1"/>
        </w:rPr>
        <w:t>,</w:t>
      </w:r>
      <w:r w:rsidRPr="00841105">
        <w:rPr>
          <w:rStyle w:val="Nessuno"/>
          <w:color w:val="000000" w:themeColor="text1"/>
        </w:rPr>
        <w:t xml:space="preserve"> </w:t>
      </w:r>
      <w:r>
        <w:rPr>
          <w:rStyle w:val="Nessuno"/>
          <w:color w:val="000000" w:themeColor="text1"/>
        </w:rPr>
        <w:t xml:space="preserve">la sezione I </w:t>
      </w:r>
      <w:r w:rsidRPr="00841105">
        <w:rPr>
          <w:rStyle w:val="Nessuno"/>
          <w:color w:val="000000" w:themeColor="text1"/>
        </w:rPr>
        <w:t>è dedicat</w:t>
      </w:r>
      <w:r>
        <w:rPr>
          <w:rStyle w:val="Nessuno"/>
          <w:color w:val="000000" w:themeColor="text1"/>
        </w:rPr>
        <w:t>a</w:t>
      </w:r>
      <w:r w:rsidRPr="00841105">
        <w:rPr>
          <w:rStyle w:val="Nessuno"/>
          <w:color w:val="000000" w:themeColor="text1"/>
        </w:rPr>
        <w:t xml:space="preserve"> alle “</w:t>
      </w:r>
      <w:r w:rsidRPr="00841105">
        <w:rPr>
          <w:rStyle w:val="Nessuno"/>
          <w:i/>
          <w:iCs/>
          <w:color w:val="000000" w:themeColor="text1"/>
        </w:rPr>
        <w:t>Disposizioni generali</w:t>
      </w:r>
      <w:r w:rsidRPr="00841105">
        <w:rPr>
          <w:rStyle w:val="Nessuno"/>
          <w:color w:val="000000" w:themeColor="text1"/>
        </w:rPr>
        <w:t>”</w:t>
      </w:r>
      <w:r>
        <w:rPr>
          <w:rStyle w:val="Nessuno"/>
          <w:color w:val="000000" w:themeColor="text1"/>
        </w:rPr>
        <w:t xml:space="preserve"> (artt. 2-3)</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II alle “</w:t>
      </w:r>
      <w:r w:rsidRPr="00841105">
        <w:rPr>
          <w:rStyle w:val="Nessuno"/>
          <w:i/>
          <w:iCs/>
          <w:color w:val="000000" w:themeColor="text1"/>
        </w:rPr>
        <w:t>Autorità nazionali, punto di contatto unico e relativo coordinamento</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(artt. 4-12)</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III al “</w:t>
      </w:r>
      <w:r w:rsidRPr="00841105">
        <w:rPr>
          <w:rStyle w:val="Nessuno"/>
          <w:i/>
          <w:iCs/>
          <w:color w:val="000000" w:themeColor="text1"/>
        </w:rPr>
        <w:t>Sistema di notifica</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 13)</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IV al “</w:t>
      </w:r>
      <w:r w:rsidRPr="00841105">
        <w:rPr>
          <w:rStyle w:val="Nessuno"/>
          <w:i/>
          <w:iCs/>
          <w:color w:val="000000" w:themeColor="text1"/>
        </w:rPr>
        <w:t>Sistema di vigilanza del mercato</w:t>
      </w:r>
      <w:r w:rsidRPr="00841105">
        <w:rPr>
          <w:rStyle w:val="Nessuno"/>
          <w:color w:val="000000" w:themeColor="text1"/>
        </w:rPr>
        <w:t>”</w:t>
      </w:r>
      <w:r>
        <w:rPr>
          <w:rStyle w:val="Nessuno"/>
          <w:color w:val="000000" w:themeColor="text1"/>
        </w:rPr>
        <w:t xml:space="preserve"> (artt. 14-18)</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V alle “</w:t>
      </w:r>
      <w:r w:rsidRPr="00841105">
        <w:rPr>
          <w:rStyle w:val="Nessuno"/>
          <w:i/>
          <w:iCs/>
          <w:color w:val="000000" w:themeColor="text1"/>
        </w:rPr>
        <w:t>Disposizioni sanzionatorie</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(artt. 19-25)</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VI agli “</w:t>
      </w:r>
      <w:r w:rsidRPr="00841105">
        <w:rPr>
          <w:rStyle w:val="Nessuno"/>
          <w:i/>
          <w:iCs/>
          <w:color w:val="000000" w:themeColor="text1"/>
        </w:rPr>
        <w:t>Spazi di sperimentazione normativa</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(artt. 26-31)</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VII alle “</w:t>
      </w:r>
      <w:r w:rsidRPr="00841105">
        <w:rPr>
          <w:rStyle w:val="Nessuno"/>
          <w:i/>
          <w:iCs/>
          <w:color w:val="000000" w:themeColor="text1"/>
        </w:rPr>
        <w:t>Modifiche della normativa di settore</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(artt. 32-33)</w:t>
      </w:r>
      <w:r w:rsidRPr="00841105">
        <w:rPr>
          <w:rStyle w:val="Nessuno"/>
          <w:color w:val="000000" w:themeColor="text1"/>
        </w:rPr>
        <w:t xml:space="preserve">, </w:t>
      </w:r>
      <w:r>
        <w:rPr>
          <w:rStyle w:val="Nessuno"/>
          <w:color w:val="000000" w:themeColor="text1"/>
        </w:rPr>
        <w:t xml:space="preserve">la sezione </w:t>
      </w:r>
      <w:r w:rsidRPr="00841105">
        <w:rPr>
          <w:rStyle w:val="Nessuno"/>
          <w:color w:val="000000" w:themeColor="text1"/>
        </w:rPr>
        <w:t>VIII alle “</w:t>
      </w:r>
      <w:r w:rsidRPr="00841105">
        <w:rPr>
          <w:rStyle w:val="Nessuno"/>
          <w:i/>
          <w:iCs/>
          <w:color w:val="000000" w:themeColor="text1"/>
        </w:rPr>
        <w:t>Disposizioni finali</w:t>
      </w:r>
      <w:r w:rsidRPr="00841105">
        <w:rPr>
          <w:rStyle w:val="Nessuno"/>
          <w:color w:val="000000" w:themeColor="text1"/>
        </w:rPr>
        <w:t>”</w:t>
      </w:r>
      <w:r w:rsidRPr="00A3369D">
        <w:rPr>
          <w:rStyle w:val="Nessuno"/>
          <w:color w:val="000000" w:themeColor="text1"/>
        </w:rPr>
        <w:t xml:space="preserve"> </w:t>
      </w:r>
      <w:r>
        <w:rPr>
          <w:rStyle w:val="Nessuno"/>
          <w:color w:val="000000" w:themeColor="text1"/>
        </w:rPr>
        <w:t>(art. 34)</w:t>
      </w:r>
      <w:r w:rsidRPr="00841105">
        <w:rPr>
          <w:rStyle w:val="Nessuno"/>
          <w:color w:val="000000" w:themeColor="text1"/>
        </w:rPr>
        <w:t xml:space="preserve">. </w:t>
      </w:r>
    </w:p>
    <w:p w14:paraId="569054D4" w14:textId="777BE0EB" w:rsidR="00141CEB" w:rsidRDefault="00141CEB" w:rsidP="00365E22">
      <w:pPr>
        <w:pStyle w:val="Nessunaspaziatura"/>
        <w:spacing w:after="60" w:line="276" w:lineRule="auto"/>
        <w:jc w:val="both"/>
        <w:rPr>
          <w:rStyle w:val="Nessuno"/>
          <w:b/>
          <w:bCs/>
          <w:color w:val="000000" w:themeColor="text1"/>
        </w:rPr>
      </w:pPr>
      <w:r w:rsidRPr="00010081">
        <w:rPr>
          <w:rStyle w:val="Nessuno"/>
          <w:b/>
          <w:bCs/>
          <w:color w:val="000000" w:themeColor="text1"/>
        </w:rPr>
        <w:t>Si deve anticipare quanto specificato all’art. 53 sulla invarianza finanziaria</w:t>
      </w:r>
      <w:r w:rsidR="00010081" w:rsidRPr="00010081">
        <w:rPr>
          <w:rStyle w:val="Nessuno"/>
          <w:b/>
          <w:bCs/>
          <w:color w:val="000000" w:themeColor="text1"/>
        </w:rPr>
        <w:t>.</w:t>
      </w:r>
    </w:p>
    <w:p w14:paraId="59722D15" w14:textId="77777777" w:rsidR="004C016E" w:rsidRPr="004C016E" w:rsidRDefault="004C016E" w:rsidP="004C016E">
      <w:pPr>
        <w:pStyle w:val="Nessunaspaziatura"/>
        <w:spacing w:after="60" w:line="276" w:lineRule="auto"/>
        <w:jc w:val="both"/>
        <w:rPr>
          <w:b/>
          <w:bCs/>
          <w:lang w:val="it-IT"/>
        </w:rPr>
      </w:pPr>
      <w:r w:rsidRPr="004C016E">
        <w:rPr>
          <w:b/>
          <w:bCs/>
          <w:lang w:val="it-IT"/>
        </w:rPr>
        <w:t>L’AgID, in coerenza con quanto previsto dalla clausola di invarianza finanziaria, assicura l’espletamento delle nuove funzioni, in quanto omogenee, complementari e coerenti con il perimetro di attività già attribuito.</w:t>
      </w:r>
    </w:p>
    <w:p w14:paraId="0C385D7E" w14:textId="77777777" w:rsidR="004C016E" w:rsidRPr="004C016E" w:rsidRDefault="004C016E" w:rsidP="004C016E">
      <w:pPr>
        <w:pStyle w:val="Nessunaspaziatura"/>
        <w:spacing w:after="60" w:line="276" w:lineRule="auto"/>
        <w:jc w:val="both"/>
        <w:rPr>
          <w:b/>
          <w:bCs/>
          <w:lang w:val="it-IT"/>
        </w:rPr>
      </w:pPr>
      <w:r w:rsidRPr="004C016E">
        <w:rPr>
          <w:b/>
          <w:bCs/>
          <w:lang w:val="it-IT"/>
        </w:rPr>
        <w:t>Invero, la perdurante limitatezza delle risorse umane e finanziarie disponibili impone un costante sforzo di razionalizzazione e prioritizzazione delle attività, evidenziando l’esigenza, già più volte rappresentata, di un progressivo adeguamento della dotazione organica e delle risorse a fronte del progressivo ampliamento delle competenze attribuite.</w:t>
      </w:r>
    </w:p>
    <w:p w14:paraId="69675C99" w14:textId="77777777" w:rsidR="004C016E" w:rsidRPr="004C016E" w:rsidRDefault="004C016E" w:rsidP="004C016E">
      <w:pPr>
        <w:pStyle w:val="Nessunaspaziatura"/>
        <w:spacing w:after="60" w:line="276" w:lineRule="auto"/>
        <w:jc w:val="both"/>
        <w:rPr>
          <w:b/>
          <w:bCs/>
          <w:lang w:val="it-IT"/>
        </w:rPr>
      </w:pPr>
      <w:r w:rsidRPr="004C016E">
        <w:rPr>
          <w:b/>
          <w:bCs/>
          <w:lang w:val="it-IT"/>
        </w:rPr>
        <w:t>Tuttavia, l’Agenzia dispone già di un patrimonio organizzativo, regolatorio e tecnico consolidato, che consente di assorbire progressivamente nuovi compiti senza imporre un immediato adeguamento strutturale in quanto le nuove attribuzioni si collocano nel solco delle competenze già esercitate, non configurandosi come un ampliamento eterogeneo delle medesime; ciò implica che le competenze richieste siano già presenti, almeno in parte, all’interno dell’Agenzia, e possano essere valorizzate mediante processi di coordinamento interno e razionalizzazione delle attività.</w:t>
      </w:r>
    </w:p>
    <w:p w14:paraId="3D5851C4" w14:textId="77777777" w:rsidR="004C016E" w:rsidRPr="004C016E" w:rsidRDefault="004C016E" w:rsidP="004C016E">
      <w:pPr>
        <w:pStyle w:val="Nessunaspaziatura"/>
        <w:spacing w:after="60" w:line="276" w:lineRule="auto"/>
        <w:jc w:val="both"/>
        <w:rPr>
          <w:b/>
          <w:bCs/>
          <w:lang w:val="it-IT"/>
        </w:rPr>
      </w:pPr>
      <w:r w:rsidRPr="004C016E">
        <w:rPr>
          <w:b/>
          <w:bCs/>
          <w:lang w:val="it-IT"/>
        </w:rPr>
        <w:t>La sostenibilità delle funzioni attribuite ad ACN è garantita dalla disponibilità presso l’Agenzia di strutture organizzative competenti in materia. Inoltre, i connessi compiti risultano coerenti con le funzioni già attribuite e regolarmente svolte ai sensi dell’articolo 7 del decreto-legge n. 82/2021 e, in particolare, del comma 1, lettera r). Invero, l’Agenzia, dalla sua istituzione nel 2021 ad oggi, ha registrato una crescita costante sia in termini di stanziamenti annuali (fissati all’articolo 18 del richiamato decreto-legge istitutivo ed incrementati da successive disposizioni autorizzative) e di personale altamente specializzato. A tale riguardo, si rappresenta che la dotazione organica potrà raggiungere, con il decreto del Presidente del Consiglio dei ministri del 29 settembre 2025, le 669 unità di personale già nel corrente anno 2026.</w:t>
      </w:r>
    </w:p>
    <w:p w14:paraId="0045B389" w14:textId="77777777" w:rsidR="004C016E" w:rsidRPr="004C016E" w:rsidRDefault="004C016E" w:rsidP="004C016E">
      <w:pPr>
        <w:pStyle w:val="CorpoA"/>
        <w:spacing w:after="60" w:line="276" w:lineRule="auto"/>
        <w:ind w:left="0" w:firstLine="0"/>
        <w:rPr>
          <w:rStyle w:val="Nessuno"/>
          <w:rFonts w:ascii="Times New Roman" w:hAnsi="Times New Roman" w:cs="Times New Roman"/>
          <w:b/>
          <w:bCs/>
          <w:color w:val="auto"/>
          <w:lang w:eastAsia="en-US"/>
        </w:rPr>
      </w:pPr>
      <w:r w:rsidRPr="004C016E">
        <w:rPr>
          <w:rFonts w:ascii="Times New Roman" w:hAnsi="Times New Roman" w:cs="Times New Roman"/>
          <w:b/>
          <w:bCs/>
        </w:rPr>
        <w:t xml:space="preserve">Per quanto concerne le Autorità del settore finanziario, </w:t>
      </w:r>
      <w:r w:rsidRPr="004C016E">
        <w:rPr>
          <w:rFonts w:ascii="Times New Roman" w:hAnsi="Times New Roman" w:cs="Times New Roman"/>
          <w:b/>
          <w:bCs/>
          <w:color w:val="000000" w:themeColor="text1"/>
        </w:rPr>
        <w:t xml:space="preserve">si osserva  </w:t>
      </w:r>
      <w:r w:rsidRPr="004C016E">
        <w:rPr>
          <w:rFonts w:ascii="Times New Roman" w:eastAsia="Calibri" w:hAnsi="Times New Roman" w:cs="Times New Roman"/>
          <w:b/>
          <w:bCs/>
        </w:rPr>
        <w:t>che la Banca d’Italia ha, ai sensi degli articoli 131 e 282 del TFUE, un bilancio autonomo e gode della più ampia indipendenza finanziaria mentre la Consob e l’IVASS provvedono autonomamente, con forme di autofinanziamento, attraverso le contribuzioni dovute dai soggetti vigilati, alla copertura dei costi derivanti dalle attività svolte. Pertanto, le Autorità sopra indicate provvedono all’attuazione dei compiti di cui al presente decreto con le risorse umane, strumentali e finanziarie disponibili a legislazione vigente, e comunque senza nuovi o maggiori oneri a carico della finanza pubblica.</w:t>
      </w:r>
    </w:p>
    <w:p w14:paraId="39DFCAC1" w14:textId="77777777" w:rsidR="004C016E" w:rsidRPr="00010081" w:rsidRDefault="004C016E" w:rsidP="00365E22">
      <w:pPr>
        <w:pStyle w:val="Nessunaspaziatura"/>
        <w:spacing w:after="60" w:line="276" w:lineRule="auto"/>
        <w:jc w:val="both"/>
        <w:rPr>
          <w:rStyle w:val="Nessuno"/>
          <w:b/>
          <w:bCs/>
          <w:color w:val="000000" w:themeColor="text1"/>
        </w:rPr>
      </w:pPr>
    </w:p>
    <w:p w14:paraId="08821EF8" w14:textId="77777777" w:rsidR="00010081" w:rsidRPr="00841105" w:rsidRDefault="00010081" w:rsidP="00365E22">
      <w:pPr>
        <w:pStyle w:val="Nessunaspaziatura"/>
        <w:spacing w:after="60" w:line="276" w:lineRule="auto"/>
        <w:jc w:val="both"/>
        <w:rPr>
          <w:rStyle w:val="Nessuno"/>
          <w:color w:val="000000" w:themeColor="text1"/>
        </w:rPr>
      </w:pPr>
    </w:p>
    <w:p w14:paraId="6F4DADD6" w14:textId="690344EC" w:rsidR="003A79BD" w:rsidRPr="004A54DE" w:rsidRDefault="004A54DE" w:rsidP="00365E22">
      <w:pPr>
        <w:pStyle w:val="Nessunaspaziatura"/>
        <w:spacing w:after="60" w:line="276" w:lineRule="auto"/>
        <w:jc w:val="both"/>
        <w:rPr>
          <w:b/>
          <w:bCs/>
          <w:lang w:val="it-IT"/>
        </w:rPr>
      </w:pPr>
      <w:r w:rsidRPr="004A54DE">
        <w:rPr>
          <w:rStyle w:val="Nessuno"/>
          <w:b/>
          <w:bCs/>
          <w:color w:val="000000" w:themeColor="text1"/>
        </w:rPr>
        <w:t>Sezione I “</w:t>
      </w:r>
      <w:r w:rsidRPr="004A54DE">
        <w:rPr>
          <w:rStyle w:val="Nessuno"/>
          <w:b/>
          <w:bCs/>
          <w:i/>
          <w:iCs/>
          <w:color w:val="000000" w:themeColor="text1"/>
        </w:rPr>
        <w:t>Disposizioni generali</w:t>
      </w:r>
      <w:r w:rsidRPr="004A54DE">
        <w:rPr>
          <w:rStyle w:val="Nessuno"/>
          <w:b/>
          <w:bCs/>
          <w:color w:val="000000" w:themeColor="text1"/>
        </w:rPr>
        <w:t>”</w:t>
      </w:r>
    </w:p>
    <w:p w14:paraId="03EF0A13" w14:textId="75BD03F4" w:rsidR="00030388" w:rsidRPr="009D0B4B" w:rsidRDefault="00030388" w:rsidP="00365E22">
      <w:pPr>
        <w:pStyle w:val="Nessunaspaziatura"/>
        <w:spacing w:after="60" w:line="276" w:lineRule="auto"/>
        <w:jc w:val="both"/>
        <w:rPr>
          <w:lang w:val="it-IT"/>
        </w:rPr>
      </w:pPr>
      <w:r w:rsidRPr="009D0B4B">
        <w:rPr>
          <w:lang w:val="it-IT"/>
        </w:rPr>
        <w:t>L’</w:t>
      </w:r>
      <w:r w:rsidRPr="009D0B4B">
        <w:rPr>
          <w:b/>
          <w:bCs/>
          <w:lang w:val="it-IT"/>
        </w:rPr>
        <w:t xml:space="preserve">articolo 2 </w:t>
      </w:r>
      <w:r w:rsidRPr="009D0B4B">
        <w:rPr>
          <w:lang w:val="it-IT"/>
        </w:rPr>
        <w:t xml:space="preserve">individua l’oggetto e l’ambito di applicazione del decreto, </w:t>
      </w:r>
      <w:r w:rsidR="00106422" w:rsidRPr="009D0B4B">
        <w:rPr>
          <w:lang w:val="it-IT"/>
        </w:rPr>
        <w:t>rappresentato</w:t>
      </w:r>
      <w:r w:rsidRPr="009D0B4B">
        <w:rPr>
          <w:lang w:val="it-IT"/>
        </w:rPr>
        <w:t xml:space="preserve"> </w:t>
      </w:r>
      <w:r w:rsidR="00106422" w:rsidRPr="009D0B4B">
        <w:rPr>
          <w:lang w:val="it-IT"/>
        </w:rPr>
        <w:t>d</w:t>
      </w:r>
      <w:r w:rsidRPr="009D0B4B">
        <w:rPr>
          <w:lang w:val="it-IT"/>
        </w:rPr>
        <w:t>ai soggetti di cui all’articolo 2, paragrafo 1, dell’AI Act. La disposizione ha natura ricognitiva e ordinamentale e non determina effetti finanziari.</w:t>
      </w:r>
    </w:p>
    <w:p w14:paraId="4D74D4E7" w14:textId="77777777" w:rsidR="008D2846"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articolo 3</w:t>
      </w:r>
      <w:r w:rsidRPr="009D0B4B">
        <w:rPr>
          <w:lang w:val="it-IT"/>
        </w:rPr>
        <w:t xml:space="preserve"> definisce i principi generali in materia di intelligenza artificiale e, pertanto, è privo di effetti per la finanza pubblica.</w:t>
      </w:r>
    </w:p>
    <w:p w14:paraId="161873F8" w14:textId="77777777" w:rsidR="008D2846" w:rsidRPr="009D0B4B" w:rsidRDefault="008D2846" w:rsidP="00365E22">
      <w:pPr>
        <w:pStyle w:val="Nessunaspaziatura"/>
        <w:spacing w:after="60" w:line="276" w:lineRule="auto"/>
        <w:jc w:val="both"/>
        <w:rPr>
          <w:lang w:val="it-IT"/>
        </w:rPr>
      </w:pPr>
    </w:p>
    <w:p w14:paraId="4325A099" w14:textId="04A86D7E" w:rsidR="008D2846" w:rsidRPr="009D0B4B" w:rsidRDefault="004A54DE" w:rsidP="00365E22">
      <w:pPr>
        <w:pStyle w:val="Nessunaspaziatura"/>
        <w:spacing w:after="60" w:line="276" w:lineRule="auto"/>
        <w:jc w:val="both"/>
        <w:rPr>
          <w:b/>
          <w:bCs/>
          <w:lang w:val="it-IT"/>
        </w:rPr>
      </w:pPr>
      <w:r w:rsidRPr="004A54DE">
        <w:rPr>
          <w:rStyle w:val="Nessuno"/>
          <w:b/>
          <w:bCs/>
          <w:color w:val="000000" w:themeColor="text1"/>
        </w:rPr>
        <w:t>Sezione</w:t>
      </w:r>
      <w:r w:rsidR="008D2846" w:rsidRPr="009D0B4B">
        <w:rPr>
          <w:b/>
          <w:bCs/>
          <w:lang w:val="it-IT"/>
        </w:rPr>
        <w:t xml:space="preserve"> II </w:t>
      </w:r>
      <w:r w:rsidR="00A53D53" w:rsidRPr="009D0B4B">
        <w:rPr>
          <w:b/>
          <w:bCs/>
          <w:lang w:val="it-IT"/>
        </w:rPr>
        <w:t>–</w:t>
      </w:r>
      <w:r w:rsidR="008D2846" w:rsidRPr="009D0B4B">
        <w:rPr>
          <w:b/>
          <w:bCs/>
          <w:lang w:val="it-IT"/>
        </w:rPr>
        <w:t xml:space="preserve"> Autorità nazionali, punto di contatto unico e relativo coordinamento </w:t>
      </w:r>
    </w:p>
    <w:p w14:paraId="13D2942F" w14:textId="77777777" w:rsidR="001C2FEB" w:rsidRPr="009D0B4B" w:rsidRDefault="00A53C55" w:rsidP="00365E22">
      <w:pPr>
        <w:spacing w:after="60" w:line="276" w:lineRule="auto"/>
        <w:jc w:val="both"/>
        <w:rPr>
          <w:lang w:val="it-IT"/>
        </w:rPr>
      </w:pPr>
      <w:r w:rsidRPr="009D0B4B">
        <w:rPr>
          <w:lang w:val="it-IT"/>
        </w:rPr>
        <w:t>L’</w:t>
      </w:r>
      <w:r w:rsidR="008D2846" w:rsidRPr="009D0B4B">
        <w:rPr>
          <w:b/>
          <w:bCs/>
          <w:lang w:val="it-IT"/>
        </w:rPr>
        <w:t xml:space="preserve">articolo 4 </w:t>
      </w:r>
      <w:r w:rsidR="001C2FEB" w:rsidRPr="009D0B4B">
        <w:rPr>
          <w:lang w:val="it-IT"/>
        </w:rPr>
        <w:t>individua l’Agenzia per l’Italia Digitale (AgID) quale Autorità nazionale di notifica, in attuazione dell’articolo 70, paragrafo 1, del regolamento (UE) 2024/1689, che prevede la designazione, da parte degli Stati membri, di una o più autorità di notifica.</w:t>
      </w:r>
    </w:p>
    <w:p w14:paraId="108B8434" w14:textId="77777777" w:rsidR="001C2FEB" w:rsidRPr="009D0B4B" w:rsidRDefault="001C2FEB" w:rsidP="00365E22">
      <w:pPr>
        <w:spacing w:after="60" w:line="276" w:lineRule="auto"/>
        <w:jc w:val="both"/>
        <w:rPr>
          <w:lang w:val="it-IT"/>
        </w:rPr>
      </w:pPr>
      <w:r w:rsidRPr="009D0B4B">
        <w:rPr>
          <w:lang w:val="it-IT"/>
        </w:rPr>
        <w:t>La disposizione definisce, altresì, le principali funzioni attribuite a tale Autorità, consistenti nella predisposizione e nell’esecuzione delle procedure necessarie per la valutazione, la designazione e la notifica degli organismi di valutazione della conformità, nonché nel monitoraggio del mantenimento dei requisiti da parte dei medesimi organismi.</w:t>
      </w:r>
    </w:p>
    <w:p w14:paraId="535B6A0C" w14:textId="0D4953DD" w:rsidR="001C2FEB" w:rsidRPr="00C71011" w:rsidRDefault="001C2FEB" w:rsidP="00365E22">
      <w:pPr>
        <w:spacing w:after="60" w:line="276" w:lineRule="auto"/>
        <w:jc w:val="both"/>
        <w:rPr>
          <w:lang w:val="it-IT"/>
        </w:rPr>
      </w:pPr>
      <w:r w:rsidRPr="009D0B4B">
        <w:rPr>
          <w:lang w:val="it-IT"/>
        </w:rPr>
        <w:t xml:space="preserve">La norma mira ad assicurare l’effettiva operatività del sistema di valutazione della conformità delineato dalla normativa europea, garantendo l’affidabilità degli organismi notificati e l’uniforme </w:t>
      </w:r>
      <w:r w:rsidRPr="00C71011">
        <w:rPr>
          <w:lang w:val="it-IT"/>
        </w:rPr>
        <w:t>applicazione dei requisiti da essa previsti.</w:t>
      </w:r>
    </w:p>
    <w:p w14:paraId="25AAD4D1" w14:textId="620246C2" w:rsidR="001C2FEB" w:rsidRPr="00C71011" w:rsidRDefault="001C2FEB" w:rsidP="00365E22">
      <w:pPr>
        <w:spacing w:after="60" w:line="276" w:lineRule="auto"/>
        <w:jc w:val="both"/>
        <w:rPr>
          <w:lang w:val="it-IT"/>
        </w:rPr>
      </w:pPr>
      <w:r w:rsidRPr="00C71011">
        <w:rPr>
          <w:lang w:val="it-IT"/>
        </w:rPr>
        <w:t>La disposizione, limitandosi a individuare l’Autorità nazionale di notifica e a definirne le funzioni, in attuazione del regolamento IA, ha natura  meramente ordinamentale.</w:t>
      </w:r>
    </w:p>
    <w:p w14:paraId="25B32115" w14:textId="77777777" w:rsidR="001C2FEB" w:rsidRPr="00C71011" w:rsidRDefault="001C2FEB" w:rsidP="00365E22">
      <w:pPr>
        <w:spacing w:after="60" w:line="276" w:lineRule="auto"/>
        <w:jc w:val="both"/>
        <w:rPr>
          <w:lang w:val="it-IT"/>
        </w:rPr>
      </w:pPr>
      <w:r w:rsidRPr="00C71011">
        <w:rPr>
          <w:lang w:val="it-IT"/>
        </w:rPr>
        <w:t>In particolare, la disposizione attribuisce all’Agenzia per l’Italia Digitale (AgID) i seguenti compiti:</w:t>
      </w:r>
    </w:p>
    <w:p w14:paraId="6408DD39" w14:textId="77777777" w:rsidR="001C2FEB" w:rsidRPr="00C71011" w:rsidRDefault="001C2FEB" w:rsidP="00365E2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lang w:val="it-IT"/>
        </w:rPr>
      </w:pPr>
      <w:r w:rsidRPr="00C71011">
        <w:rPr>
          <w:lang w:val="it-IT"/>
        </w:rPr>
        <w:t>valutazione e designazione degli organismi di valutazione della conformità;</w:t>
      </w:r>
    </w:p>
    <w:p w14:paraId="431BAF32" w14:textId="77777777" w:rsidR="001C2FEB" w:rsidRPr="00C71011" w:rsidRDefault="001C2FEB" w:rsidP="00365E2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lang w:val="it-IT"/>
        </w:rPr>
      </w:pPr>
      <w:r w:rsidRPr="00C71011">
        <w:rPr>
          <w:lang w:val="it-IT"/>
        </w:rPr>
        <w:t>notifica degli organismi designati alla Commissione europea;</w:t>
      </w:r>
    </w:p>
    <w:p w14:paraId="181CE2B0" w14:textId="77777777" w:rsidR="001C2FEB" w:rsidRPr="00C71011" w:rsidRDefault="001C2FEB" w:rsidP="00365E2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lang w:val="it-IT"/>
        </w:rPr>
      </w:pPr>
      <w:r w:rsidRPr="00C71011">
        <w:rPr>
          <w:lang w:val="it-IT"/>
        </w:rPr>
        <w:t>monitoraggio e vigilanza sul mantenimento dei requisiti da parte degli organismi notificati.</w:t>
      </w:r>
    </w:p>
    <w:p w14:paraId="27314564" w14:textId="77777777" w:rsidR="001C2FEB" w:rsidRPr="00C71011" w:rsidRDefault="001C2FEB" w:rsidP="00365E22">
      <w:pPr>
        <w:spacing w:after="60" w:line="276" w:lineRule="auto"/>
        <w:jc w:val="both"/>
        <w:rPr>
          <w:lang w:val="it-IT"/>
        </w:rPr>
      </w:pPr>
      <w:r w:rsidRPr="009D0B4B">
        <w:rPr>
          <w:lang w:val="it-IT"/>
        </w:rPr>
        <w:t xml:space="preserve">Nel rispetto del vincolo di invarianza finanziaria previsto dalla legge delega del 23 settembre 2025, n. 132, le attività sopra indicate rientrano nell’ambito delle funzioni istituzionali dell’AgID e sono svolte </w:t>
      </w:r>
      <w:r w:rsidRPr="00C71011">
        <w:rPr>
          <w:lang w:val="it-IT"/>
        </w:rPr>
        <w:t>con le risorse umane, strumentali e finanziarie disponibili a legislazione vigente.</w:t>
      </w:r>
    </w:p>
    <w:p w14:paraId="5C04E7B4" w14:textId="49A1CE31" w:rsidR="008D2846" w:rsidRPr="00C71011" w:rsidRDefault="001C2FEB" w:rsidP="00365E22">
      <w:pPr>
        <w:pStyle w:val="Nessunaspaziatura"/>
        <w:spacing w:after="60" w:line="276" w:lineRule="auto"/>
        <w:jc w:val="both"/>
        <w:rPr>
          <w:lang w:val="it-IT"/>
        </w:rPr>
      </w:pPr>
      <w:r w:rsidRPr="00C71011">
        <w:rPr>
          <w:lang w:val="it-IT"/>
        </w:rPr>
        <w:t>Pertanto, dall’attuazione della disposizione non derivano nuovi o maggiori oneri a carico della finanza pubblica.</w:t>
      </w:r>
    </w:p>
    <w:p w14:paraId="53252F9B" w14:textId="77777777" w:rsidR="00366765" w:rsidRPr="00C71011" w:rsidRDefault="00366765" w:rsidP="00365E22">
      <w:pPr>
        <w:pStyle w:val="Nessunaspaziatura"/>
        <w:spacing w:after="60" w:line="276" w:lineRule="auto"/>
        <w:jc w:val="both"/>
        <w:rPr>
          <w:b/>
          <w:bCs/>
          <w:lang w:val="it-IT"/>
        </w:rPr>
      </w:pPr>
    </w:p>
    <w:p w14:paraId="3D845089" w14:textId="1DEF6B18" w:rsidR="00366765" w:rsidRPr="00C71011" w:rsidRDefault="008D2846" w:rsidP="00365E22">
      <w:pPr>
        <w:spacing w:after="60" w:line="276" w:lineRule="auto"/>
        <w:jc w:val="both"/>
        <w:rPr>
          <w:rFonts w:eastAsia="Calibri"/>
          <w:lang w:val="it-IT"/>
        </w:rPr>
      </w:pPr>
      <w:r w:rsidRPr="00C71011">
        <w:rPr>
          <w:b/>
          <w:bCs/>
          <w:lang w:val="it-IT"/>
        </w:rPr>
        <w:t>Gli articoli 5 e 6</w:t>
      </w:r>
      <w:r w:rsidRPr="00C71011">
        <w:rPr>
          <w:lang w:val="it-IT"/>
        </w:rPr>
        <w:t xml:space="preserve"> hanno natura ordinamentale</w:t>
      </w:r>
      <w:r w:rsidR="0026166E" w:rsidRPr="00C71011">
        <w:rPr>
          <w:lang w:val="it-IT"/>
        </w:rPr>
        <w:t>.</w:t>
      </w:r>
      <w:r w:rsidRPr="00C71011">
        <w:rPr>
          <w:lang w:val="it-IT"/>
        </w:rPr>
        <w:t xml:space="preserve"> </w:t>
      </w:r>
      <w:r w:rsidR="0026166E" w:rsidRPr="00C71011">
        <w:rPr>
          <w:lang w:val="it-IT"/>
        </w:rPr>
        <w:t>P</w:t>
      </w:r>
      <w:r w:rsidRPr="00C71011">
        <w:rPr>
          <w:lang w:val="it-IT"/>
        </w:rPr>
        <w:t>ertanto, da essi non scaturiscono nuovi o maggiori oneri a carico della finanza pubblica</w:t>
      </w:r>
      <w:r w:rsidR="0026166E" w:rsidRPr="00C71011">
        <w:rPr>
          <w:lang w:val="it-IT"/>
        </w:rPr>
        <w:t>. I</w:t>
      </w:r>
      <w:r w:rsidRPr="00C71011">
        <w:rPr>
          <w:lang w:val="it-IT"/>
        </w:rPr>
        <w:t>n particolare l’</w:t>
      </w:r>
      <w:r w:rsidRPr="00C71011">
        <w:rPr>
          <w:b/>
          <w:bCs/>
          <w:lang w:val="it-IT"/>
        </w:rPr>
        <w:t>articolo 5</w:t>
      </w:r>
      <w:r w:rsidRPr="00C71011">
        <w:rPr>
          <w:lang w:val="it-IT"/>
        </w:rPr>
        <w:t xml:space="preserve">, lettera a), </w:t>
      </w:r>
      <w:r w:rsidR="00261181" w:rsidRPr="00C71011">
        <w:rPr>
          <w:lang w:val="it-IT"/>
        </w:rPr>
        <w:t>ferme restando le competenze dell’ufficio europeo per l’IA ai sensi degli artico</w:t>
      </w:r>
      <w:r w:rsidR="00450E1C">
        <w:rPr>
          <w:lang w:val="it-IT"/>
        </w:rPr>
        <w:t>l</w:t>
      </w:r>
      <w:r w:rsidR="00261181" w:rsidRPr="00C71011">
        <w:rPr>
          <w:lang w:val="it-IT"/>
        </w:rPr>
        <w:t xml:space="preserve">i 75, 88 e 89 dell’AI Act, </w:t>
      </w:r>
      <w:r w:rsidRPr="00C71011">
        <w:rPr>
          <w:lang w:val="it-IT"/>
        </w:rPr>
        <w:t xml:space="preserve">individua l’Agenzia per la cybersicurezza nazionale (nel seguito ACN) come autorità di vigilanza per il mercato </w:t>
      </w:r>
      <w:r w:rsidR="0026166E" w:rsidRPr="00C71011">
        <w:rPr>
          <w:lang w:val="it-IT"/>
        </w:rPr>
        <w:t>relativamente ai</w:t>
      </w:r>
      <w:r w:rsidRPr="00C71011">
        <w:rPr>
          <w:lang w:val="it-IT"/>
        </w:rPr>
        <w:t xml:space="preserve"> sistemi </w:t>
      </w:r>
      <w:r w:rsidR="0026166E" w:rsidRPr="00C71011">
        <w:rPr>
          <w:lang w:val="it-IT"/>
        </w:rPr>
        <w:t xml:space="preserve">di </w:t>
      </w:r>
      <w:r w:rsidRPr="00C71011">
        <w:rPr>
          <w:lang w:val="it-IT"/>
        </w:rPr>
        <w:t>IA, secondo quanto sancito dall’art. 70</w:t>
      </w:r>
      <w:r w:rsidR="0026166E" w:rsidRPr="00C71011">
        <w:rPr>
          <w:lang w:val="it-IT"/>
        </w:rPr>
        <w:t>,</w:t>
      </w:r>
      <w:r w:rsidRPr="00C71011">
        <w:rPr>
          <w:lang w:val="it-IT"/>
        </w:rPr>
        <w:t xml:space="preserve"> </w:t>
      </w:r>
      <w:r w:rsidR="0026166E" w:rsidRPr="00C71011">
        <w:rPr>
          <w:lang w:val="it-IT"/>
        </w:rPr>
        <w:t>paragrafo</w:t>
      </w:r>
      <w:r w:rsidRPr="00C71011">
        <w:rPr>
          <w:lang w:val="it-IT"/>
        </w:rPr>
        <w:t xml:space="preserve"> 1</w:t>
      </w:r>
      <w:r w:rsidR="0026166E" w:rsidRPr="00C71011">
        <w:rPr>
          <w:lang w:val="it-IT"/>
        </w:rPr>
        <w:t>,</w:t>
      </w:r>
      <w:r w:rsidRPr="00C71011">
        <w:rPr>
          <w:lang w:val="it-IT"/>
        </w:rPr>
        <w:t xml:space="preserve"> del regolamento IA</w:t>
      </w:r>
      <w:r w:rsidR="00A53C55" w:rsidRPr="00C71011">
        <w:rPr>
          <w:lang w:val="it-IT"/>
        </w:rPr>
        <w:t>.</w:t>
      </w:r>
      <w:r w:rsidR="00EE04BE" w:rsidRPr="00C71011">
        <w:rPr>
          <w:lang w:val="it-IT"/>
        </w:rPr>
        <w:t xml:space="preserve"> </w:t>
      </w:r>
      <w:r w:rsidR="00261181" w:rsidRPr="00C71011">
        <w:rPr>
          <w:rFonts w:asciiTheme="majorHAnsi" w:eastAsia="Times New Roman" w:hAnsiTheme="majorHAnsi" w:cstheme="majorBidi"/>
          <w:color w:val="000000" w:themeColor="text1"/>
          <w:sz w:val="22"/>
          <w:szCs w:val="22"/>
          <w:lang w:val="it-IT"/>
        </w:rPr>
        <w:t xml:space="preserve">Il quadro di vigilanza è caratterizzato dalla presenza di due ambiti particolari di impiego dei sistemi di IA ad alto rischio, rispetto ai quali la valutazione di conformità al regolamento IA è attribuita a delle Autorità munite di specifico </w:t>
      </w:r>
      <w:r w:rsidR="00261181" w:rsidRPr="00C71011">
        <w:rPr>
          <w:rFonts w:asciiTheme="majorHAnsi" w:eastAsia="Times New Roman" w:hAnsiTheme="majorHAnsi" w:cstheme="majorBidi"/>
          <w:i/>
          <w:iCs/>
          <w:color w:val="000000" w:themeColor="text1"/>
          <w:sz w:val="22"/>
          <w:szCs w:val="22"/>
          <w:lang w:val="it-IT"/>
        </w:rPr>
        <w:t>know-how</w:t>
      </w:r>
      <w:r w:rsidR="00261181" w:rsidRPr="00C71011">
        <w:rPr>
          <w:rFonts w:asciiTheme="majorHAnsi" w:eastAsia="Times New Roman" w:hAnsiTheme="majorHAnsi" w:cstheme="majorBidi"/>
          <w:color w:val="000000" w:themeColor="text1"/>
          <w:sz w:val="22"/>
          <w:szCs w:val="22"/>
          <w:lang w:val="it-IT"/>
        </w:rPr>
        <w:t>; all’ACN si affiancano, quindi, la Banca d’Italia, la CONSOB e l’IVASS, quali autorità di vigilanza del mercato, rispettivamente, per il comparto bancario, finanziario e assicurativo, laddove gli intermediari sottoposti alla vigilanza settoriale delle tre autorità</w:t>
      </w:r>
      <w:r w:rsidR="00261181" w:rsidRPr="00C71011">
        <w:rPr>
          <w:lang w:val="it-IT"/>
        </w:rPr>
        <w:t xml:space="preserve"> </w:t>
      </w:r>
      <w:r w:rsidR="00261181" w:rsidRPr="00C71011">
        <w:rPr>
          <w:rFonts w:asciiTheme="majorHAnsi" w:eastAsia="Times New Roman" w:hAnsiTheme="majorHAnsi" w:cstheme="majorBidi"/>
          <w:color w:val="000000" w:themeColor="text1"/>
          <w:sz w:val="22"/>
          <w:szCs w:val="22"/>
          <w:lang w:val="it-IT"/>
        </w:rPr>
        <w:t xml:space="preserve">immettano sul mercato, mettano in servizio o utilizzino sistemi di IA ad alto rischio individuati nell’Allegato III, punto 5, lett. b) e c), dell’AI Act. In particolare, con </w:t>
      </w:r>
      <w:r w:rsidR="0019713C" w:rsidRPr="00C71011">
        <w:rPr>
          <w:lang w:val="it-IT"/>
        </w:rPr>
        <w:t xml:space="preserve">la </w:t>
      </w:r>
      <w:r w:rsidR="00EE04BE" w:rsidRPr="00C71011">
        <w:rPr>
          <w:b/>
          <w:bCs/>
          <w:lang w:val="it-IT"/>
        </w:rPr>
        <w:t xml:space="preserve">lettera b) </w:t>
      </w:r>
      <w:r w:rsidR="00EE04BE" w:rsidRPr="00C71011">
        <w:rPr>
          <w:lang w:val="it-IT"/>
        </w:rPr>
        <w:t xml:space="preserve">del medesimo articolo, </w:t>
      </w:r>
      <w:r w:rsidR="003A25FC" w:rsidRPr="00C71011">
        <w:rPr>
          <w:lang w:val="it-IT"/>
        </w:rPr>
        <w:t>si</w:t>
      </w:r>
      <w:r w:rsidR="00EE04BE" w:rsidRPr="00C71011">
        <w:rPr>
          <w:lang w:val="it-IT"/>
        </w:rPr>
        <w:t xml:space="preserve"> prevede </w:t>
      </w:r>
      <w:r w:rsidR="00EE04BE" w:rsidRPr="00C71011">
        <w:rPr>
          <w:rFonts w:eastAsia="Times New Roman"/>
          <w:color w:val="000000" w:themeColor="text1"/>
          <w:lang w:val="it-IT"/>
        </w:rPr>
        <w:t xml:space="preserve">un criterio generale di ripartizione di </w:t>
      </w:r>
      <w:r w:rsidR="00EE04BE" w:rsidRPr="00C71011">
        <w:rPr>
          <w:rFonts w:eastAsia="Times New Roman"/>
          <w:color w:val="000000" w:themeColor="text1"/>
          <w:lang w:val="it-IT"/>
        </w:rPr>
        <w:lastRenderedPageBreak/>
        <w:t xml:space="preserve">competenze tra le Autorità di vigilanza del settore finanziario (Banca d’Italia, Consob e IVASS), basato sulla natura del servizio finanziario direttamente collegato ad un sistema di IA ad alto rischio; resta fermo che, sulla base della tipologia dei sistemi di IA ad alto rischio elencati dalla versione vigente dell’Allegato III del Regolamento IA, </w:t>
      </w:r>
      <w:r w:rsidR="00EE04BE" w:rsidRPr="00C71011">
        <w:rPr>
          <w:color w:val="000000" w:themeColor="text1"/>
          <w:lang w:val="it-IT"/>
        </w:rPr>
        <w:t>la Banca d’Italia è competente per i sistemi di cui al punto 5, lettera b), dell’Allegato III del Regolamento IA e l’IVASS è competente per i sistemi di cui al punto 5, lettera c), dell’Allegato III del Regolamento IA</w:t>
      </w:r>
      <w:r w:rsidR="00EE04BE" w:rsidRPr="00C71011">
        <w:rPr>
          <w:rFonts w:eastAsia="Times New Roman"/>
          <w:color w:val="000000" w:themeColor="text1"/>
          <w:lang w:val="it-IT"/>
        </w:rPr>
        <w:t>.</w:t>
      </w:r>
      <w:r w:rsidR="00EE04BE" w:rsidRPr="00C71011">
        <w:rPr>
          <w:lang w:val="it-IT"/>
        </w:rPr>
        <w:t xml:space="preserve"> </w:t>
      </w:r>
      <w:r w:rsidR="00EE04BE" w:rsidRPr="00C71011">
        <w:rPr>
          <w:rFonts w:eastAsia="Calibri"/>
          <w:lang w:val="it-IT"/>
        </w:rPr>
        <w:t xml:space="preserve">Sul punto si evidenzia che la Banca d’Italia ha, ai sensi degli articoli 131 e 282 del TFUE, un bilancio autonomo e gode della più ampia indipendenza finanziaria mentre la Consob e l’IVASS provvedono autonomamente, con forme di autofinanziamento, attraverso le contribuzioni dovute dai soggetti vigilati, alla copertura dei costi derivanti dalle attività svolte. </w:t>
      </w:r>
    </w:p>
    <w:p w14:paraId="7AEF479C" w14:textId="1F027D0E" w:rsidR="00EE04BE" w:rsidRPr="00C71011" w:rsidRDefault="00EE04BE" w:rsidP="00365E22">
      <w:pPr>
        <w:spacing w:after="60" w:line="276" w:lineRule="auto"/>
        <w:jc w:val="both"/>
        <w:rPr>
          <w:rFonts w:eastAsia="Calibri"/>
          <w:lang w:val="it-IT"/>
        </w:rPr>
      </w:pPr>
      <w:r w:rsidRPr="00C71011">
        <w:rPr>
          <w:rFonts w:eastAsia="Calibri"/>
          <w:lang w:val="it-IT"/>
        </w:rPr>
        <w:t xml:space="preserve">Pertanto, le Autorità sopra indicate provvedono all’attuazione dei compiti di </w:t>
      </w:r>
      <w:r w:rsidR="00471298" w:rsidRPr="00C71011">
        <w:rPr>
          <w:rFonts w:eastAsia="Calibri"/>
          <w:lang w:val="it-IT"/>
        </w:rPr>
        <w:t xml:space="preserve">vigilanza di cui al presente decreto </w:t>
      </w:r>
      <w:r w:rsidRPr="00C71011">
        <w:rPr>
          <w:rFonts w:eastAsia="Calibri"/>
          <w:lang w:val="it-IT"/>
        </w:rPr>
        <w:t>con le risorse umane, strumentali e finanziarie disponibili a legislazione vigente, e comunque senza nuovi o maggiori oneri a carico della finanza pubblica.</w:t>
      </w:r>
    </w:p>
    <w:p w14:paraId="68978329" w14:textId="47C7DEA3" w:rsidR="00D654F5" w:rsidRPr="009D0B4B" w:rsidRDefault="00D654F5" w:rsidP="00365E22">
      <w:pPr>
        <w:spacing w:after="60" w:line="276" w:lineRule="auto"/>
        <w:jc w:val="both"/>
        <w:rPr>
          <w:rFonts w:eastAsia="Calibri"/>
          <w:lang w:val="it-IT"/>
        </w:rPr>
      </w:pPr>
      <w:r w:rsidRPr="00C71011">
        <w:rPr>
          <w:rFonts w:eastAsia="Calibri"/>
          <w:lang w:val="it-IT"/>
        </w:rPr>
        <w:t xml:space="preserve">Infine, la lettera c) individua il Garante per la protezione dei dati personali come </w:t>
      </w:r>
      <w:r w:rsidRPr="00C71011">
        <w:rPr>
          <w:lang w:val="it-IT"/>
        </w:rPr>
        <w:t>autorità di vigilanza per il mercato, limitatamente a quanto previsto dall’articolo 74, paragrafo 8, del regolamento IA (sistemi di IA ad alto rischio elencati nell'allegato III del citato regolamento, punto 1, nella misura in cui tali sistemi sono utilizzati a fini di attività di contrasto, gestione delle frontiere, giustizia e democrazia e per i sistemi di IA ad alto rischio elencati nell'allegato III del medesimo regolamento, punti 6, 7 e 8).</w:t>
      </w:r>
    </w:p>
    <w:p w14:paraId="4BC0D2E0" w14:textId="489B1D43" w:rsidR="00D83B40" w:rsidRPr="009D0B4B" w:rsidRDefault="00D83B40" w:rsidP="00365E22">
      <w:pPr>
        <w:pStyle w:val="Nessunaspaziatura"/>
        <w:spacing w:after="60" w:line="276" w:lineRule="auto"/>
        <w:jc w:val="both"/>
        <w:rPr>
          <w:lang w:val="it-IT"/>
        </w:rPr>
      </w:pPr>
    </w:p>
    <w:p w14:paraId="4339D156" w14:textId="0781CB0E" w:rsidR="008D2846" w:rsidRPr="009D0B4B" w:rsidRDefault="00A53C55" w:rsidP="00365E22">
      <w:pPr>
        <w:pStyle w:val="Nessunaspaziatura"/>
        <w:spacing w:after="60" w:line="276" w:lineRule="auto"/>
        <w:jc w:val="both"/>
        <w:rPr>
          <w:lang w:val="it-IT"/>
        </w:rPr>
      </w:pPr>
      <w:r w:rsidRPr="009D0B4B">
        <w:rPr>
          <w:lang w:val="it-IT"/>
        </w:rPr>
        <w:t>L</w:t>
      </w:r>
      <w:r w:rsidR="0026166E" w:rsidRPr="009D0B4B">
        <w:rPr>
          <w:lang w:val="it-IT"/>
        </w:rPr>
        <w:t>’</w:t>
      </w:r>
      <w:r w:rsidR="0026166E" w:rsidRPr="009D0B4B">
        <w:rPr>
          <w:b/>
          <w:bCs/>
          <w:lang w:val="it-IT"/>
        </w:rPr>
        <w:t>articolo 6</w:t>
      </w:r>
      <w:r w:rsidR="0026166E" w:rsidRPr="009D0B4B">
        <w:rPr>
          <w:lang w:val="it-IT"/>
        </w:rPr>
        <w:t xml:space="preserve">, </w:t>
      </w:r>
      <w:r w:rsidR="008D2846" w:rsidRPr="009D0B4B">
        <w:rPr>
          <w:lang w:val="it-IT"/>
        </w:rPr>
        <w:t xml:space="preserve">in </w:t>
      </w:r>
      <w:r w:rsidR="0026166E" w:rsidRPr="009D0B4B">
        <w:rPr>
          <w:lang w:val="it-IT"/>
        </w:rPr>
        <w:t>attuazione dell’articolo 70, paragrafo 2, del medesimo regolamento</w:t>
      </w:r>
      <w:r w:rsidR="008D2846" w:rsidRPr="009D0B4B">
        <w:rPr>
          <w:lang w:val="it-IT"/>
        </w:rPr>
        <w:t xml:space="preserve">, </w:t>
      </w:r>
      <w:r w:rsidR="003A25FC">
        <w:rPr>
          <w:lang w:val="it-IT"/>
        </w:rPr>
        <w:t xml:space="preserve">e dell’articolo 20, comma 2, </w:t>
      </w:r>
      <w:r w:rsidR="00286993" w:rsidRPr="009D0B4B">
        <w:rPr>
          <w:lang w:val="it-IT"/>
        </w:rPr>
        <w:t>della legge n. 132 del 2025</w:t>
      </w:r>
      <w:r w:rsidR="00286993">
        <w:rPr>
          <w:lang w:val="it-IT"/>
        </w:rPr>
        <w:t xml:space="preserve">, </w:t>
      </w:r>
      <w:r w:rsidR="0026166E" w:rsidRPr="009D0B4B">
        <w:rPr>
          <w:lang w:val="it-IT"/>
        </w:rPr>
        <w:t>attribuisce al</w:t>
      </w:r>
      <w:r w:rsidR="008D2846" w:rsidRPr="009D0B4B">
        <w:rPr>
          <w:lang w:val="it-IT"/>
        </w:rPr>
        <w:t>l’A</w:t>
      </w:r>
      <w:r w:rsidR="0058553C" w:rsidRPr="009D0B4B">
        <w:rPr>
          <w:lang w:val="it-IT"/>
        </w:rPr>
        <w:t>CN</w:t>
      </w:r>
      <w:r w:rsidR="008D2846" w:rsidRPr="009D0B4B">
        <w:rPr>
          <w:lang w:val="it-IT"/>
        </w:rPr>
        <w:t xml:space="preserve"> </w:t>
      </w:r>
      <w:r w:rsidR="0026166E" w:rsidRPr="009D0B4B">
        <w:rPr>
          <w:lang w:val="it-IT"/>
        </w:rPr>
        <w:t>il ruolo di</w:t>
      </w:r>
      <w:r w:rsidR="008D2846" w:rsidRPr="009D0B4B">
        <w:rPr>
          <w:lang w:val="it-IT"/>
        </w:rPr>
        <w:t xml:space="preserve"> punto di contatto</w:t>
      </w:r>
      <w:r w:rsidR="0026166E" w:rsidRPr="009D0B4B">
        <w:rPr>
          <w:lang w:val="it-IT"/>
        </w:rPr>
        <w:t xml:space="preserve"> unico</w:t>
      </w:r>
      <w:r w:rsidR="008D2846" w:rsidRPr="009D0B4B">
        <w:rPr>
          <w:lang w:val="it-IT"/>
        </w:rPr>
        <w:t>.</w:t>
      </w:r>
    </w:p>
    <w:p w14:paraId="1C20AE21" w14:textId="77777777" w:rsidR="008D2846" w:rsidRPr="009D0B4B" w:rsidRDefault="008D2846" w:rsidP="00365E22">
      <w:pPr>
        <w:pStyle w:val="Nessunaspaziatura"/>
        <w:spacing w:after="60" w:line="276" w:lineRule="auto"/>
        <w:jc w:val="both"/>
        <w:rPr>
          <w:lang w:val="it-IT"/>
        </w:rPr>
      </w:pPr>
    </w:p>
    <w:p w14:paraId="2DA7693B" w14:textId="01088D8A" w:rsidR="00C17869" w:rsidRPr="009D0B4B" w:rsidRDefault="008D2846" w:rsidP="00365E22">
      <w:pPr>
        <w:pStyle w:val="Nessunaspaziatura"/>
        <w:spacing w:after="60" w:line="276" w:lineRule="auto"/>
        <w:jc w:val="both"/>
        <w:rPr>
          <w:lang w:val="it-IT"/>
        </w:rPr>
      </w:pPr>
      <w:r w:rsidRPr="009D0B4B">
        <w:rPr>
          <w:b/>
          <w:bCs/>
          <w:lang w:val="it-IT"/>
        </w:rPr>
        <w:t>L’articolo 7</w:t>
      </w:r>
      <w:r w:rsidR="00C17869" w:rsidRPr="009D0B4B">
        <w:rPr>
          <w:lang w:val="it-IT"/>
        </w:rPr>
        <w:t xml:space="preserve"> individua le forme di </w:t>
      </w:r>
      <w:r w:rsidR="0045670E" w:rsidRPr="009D0B4B">
        <w:rPr>
          <w:lang w:val="it-IT"/>
        </w:rPr>
        <w:t>cooperazione</w:t>
      </w:r>
      <w:r w:rsidR="00C17869" w:rsidRPr="009D0B4B">
        <w:rPr>
          <w:lang w:val="it-IT"/>
        </w:rPr>
        <w:t xml:space="preserve"> operativ</w:t>
      </w:r>
      <w:r w:rsidR="005D4C5E" w:rsidRPr="009D0B4B">
        <w:rPr>
          <w:lang w:val="it-IT"/>
        </w:rPr>
        <w:t>e</w:t>
      </w:r>
      <w:r w:rsidR="00C17869" w:rsidRPr="009D0B4B">
        <w:rPr>
          <w:lang w:val="it-IT"/>
        </w:rPr>
        <w:t xml:space="preserve"> tra le autorità coinvolte nell’attuazione del regolamento IA e del presente decreto legislativo. </w:t>
      </w:r>
      <w:r w:rsidR="0045670E" w:rsidRPr="009D0B4B">
        <w:rPr>
          <w:lang w:val="it-IT"/>
        </w:rPr>
        <w:t>L</w:t>
      </w:r>
      <w:r w:rsidR="00AC5265" w:rsidRPr="009D0B4B">
        <w:rPr>
          <w:lang w:val="it-IT"/>
        </w:rPr>
        <w:t xml:space="preserve">’identificazione </w:t>
      </w:r>
      <w:r w:rsidR="0045670E" w:rsidRPr="009D0B4B">
        <w:rPr>
          <w:lang w:val="it-IT"/>
        </w:rPr>
        <w:t>di tali modalità di raccordo non determina oneri a carico della finanza pubblica</w:t>
      </w:r>
      <w:r w:rsidR="0058553C" w:rsidRPr="009D0B4B">
        <w:rPr>
          <w:lang w:val="it-IT"/>
        </w:rPr>
        <w:t>.</w:t>
      </w:r>
    </w:p>
    <w:p w14:paraId="663B2FD7" w14:textId="77777777" w:rsidR="00C17869" w:rsidRPr="009D0B4B" w:rsidRDefault="00C17869" w:rsidP="00365E22">
      <w:pPr>
        <w:pStyle w:val="Nessunaspaziatura"/>
        <w:spacing w:after="60" w:line="276" w:lineRule="auto"/>
        <w:jc w:val="both"/>
        <w:rPr>
          <w:lang w:val="it-IT"/>
        </w:rPr>
      </w:pPr>
      <w:r w:rsidRPr="009D0B4B">
        <w:rPr>
          <w:lang w:val="it-IT"/>
        </w:rPr>
        <w:t>In particolare,</w:t>
      </w:r>
      <w:r w:rsidR="008D2846" w:rsidRPr="009D0B4B">
        <w:rPr>
          <w:lang w:val="it-IT"/>
        </w:rPr>
        <w:t xml:space="preserve"> </w:t>
      </w:r>
      <w:r w:rsidRPr="009D0B4B">
        <w:rPr>
          <w:lang w:val="it-IT"/>
        </w:rPr>
        <w:t xml:space="preserve">al </w:t>
      </w:r>
      <w:r w:rsidRPr="009D0B4B">
        <w:rPr>
          <w:b/>
          <w:bCs/>
          <w:lang w:val="it-IT"/>
        </w:rPr>
        <w:t>comma 1</w:t>
      </w:r>
      <w:r w:rsidRPr="009D0B4B">
        <w:rPr>
          <w:lang w:val="it-IT"/>
        </w:rPr>
        <w:t>, si prevede che l’AgID e le Autorità nazionali di vigilanza del mercato</w:t>
      </w:r>
      <w:r w:rsidR="008D2846" w:rsidRPr="009D0B4B">
        <w:rPr>
          <w:lang w:val="it-IT"/>
        </w:rPr>
        <w:t xml:space="preserve"> </w:t>
      </w:r>
      <w:r w:rsidRPr="009D0B4B">
        <w:rPr>
          <w:lang w:val="it-IT"/>
        </w:rPr>
        <w:t xml:space="preserve">stipulino tra loro accordi al fine di garantire la tempestiva e completa condivisione dei dati e delle informazioni utili all’esercizio delle funzioni di rispettiva competenza, nonché al fine di assicurare una risposta rapida nel caso di incidenti gravi. </w:t>
      </w:r>
    </w:p>
    <w:p w14:paraId="7203D6FB" w14:textId="77777777" w:rsidR="001C2FEB" w:rsidRPr="009D0B4B" w:rsidRDefault="001C2FEB" w:rsidP="00365E22">
      <w:pPr>
        <w:pStyle w:val="Nessunaspaziatura"/>
        <w:spacing w:after="60" w:line="276" w:lineRule="auto"/>
        <w:jc w:val="both"/>
        <w:rPr>
          <w:rStyle w:val="Nessuno"/>
          <w:color w:val="000000" w:themeColor="text1"/>
        </w:rPr>
      </w:pPr>
      <w:r w:rsidRPr="009D0B4B">
        <w:rPr>
          <w:rStyle w:val="Nessuno"/>
          <w:color w:val="000000" w:themeColor="text1"/>
        </w:rPr>
        <w:t xml:space="preserve">L’AgID, ai sensi del successivo </w:t>
      </w:r>
      <w:r w:rsidRPr="009D0B4B">
        <w:rPr>
          <w:rStyle w:val="Nessuno"/>
          <w:b/>
          <w:bCs/>
          <w:color w:val="000000" w:themeColor="text1"/>
        </w:rPr>
        <w:t>comma 2</w:t>
      </w:r>
      <w:r w:rsidRPr="009D0B4B">
        <w:rPr>
          <w:rStyle w:val="Nessuno"/>
          <w:color w:val="000000" w:themeColor="text1"/>
        </w:rPr>
        <w:t>, ha inoltre il compito di promuovere azioni di coordinamento con le autorità di notifica degli altri Stati membri, anche mediante protocolli d’intesa, per lo scambio di informazioni e di buone pratiche e rendere il sistema più efficiente e omogeneo.</w:t>
      </w:r>
    </w:p>
    <w:p w14:paraId="1A90EE76" w14:textId="21A86ED4" w:rsidR="008D2846" w:rsidRPr="00C71011" w:rsidRDefault="00C17869" w:rsidP="00365E22">
      <w:pPr>
        <w:pStyle w:val="Nessunaspaziatura"/>
        <w:spacing w:after="60" w:line="276" w:lineRule="auto"/>
        <w:jc w:val="both"/>
        <w:rPr>
          <w:lang w:val="it-IT"/>
        </w:rPr>
      </w:pPr>
      <w:r w:rsidRPr="009D0B4B">
        <w:rPr>
          <w:lang w:val="it-IT"/>
        </w:rPr>
        <w:t xml:space="preserve">Il </w:t>
      </w:r>
      <w:r w:rsidRPr="009D0B4B">
        <w:rPr>
          <w:b/>
          <w:bCs/>
          <w:lang w:val="it-IT"/>
        </w:rPr>
        <w:t>comma 3</w:t>
      </w:r>
      <w:r w:rsidRPr="009D0B4B">
        <w:rPr>
          <w:lang w:val="it-IT"/>
        </w:rPr>
        <w:t xml:space="preserve"> riguarda le </w:t>
      </w:r>
      <w:r w:rsidRPr="00C71011">
        <w:rPr>
          <w:lang w:val="it-IT"/>
        </w:rPr>
        <w:t>modalità di collaborazione tra l’A</w:t>
      </w:r>
      <w:r w:rsidR="00143943" w:rsidRPr="00C71011">
        <w:rPr>
          <w:lang w:val="it-IT"/>
        </w:rPr>
        <w:t>g</w:t>
      </w:r>
      <w:r w:rsidRPr="00C71011">
        <w:rPr>
          <w:lang w:val="it-IT"/>
        </w:rPr>
        <w:t>ID, le Autorità nazionali di vigilanza del mercato e il settore della formazione, rappresentato dalle università, dagli enti pubblici di ricerca, dalle istituzioni AFAM e dagli ITS Academy. La collaborazione si instaura tramite convenzioni e protocolli d’intesa ed è finalizzata alla promozione</w:t>
      </w:r>
      <w:r w:rsidR="008D2846" w:rsidRPr="00C71011">
        <w:rPr>
          <w:lang w:val="it-IT"/>
        </w:rPr>
        <w:t xml:space="preserve"> </w:t>
      </w:r>
      <w:r w:rsidRPr="00C71011">
        <w:rPr>
          <w:lang w:val="it-IT"/>
        </w:rPr>
        <w:t>del</w:t>
      </w:r>
      <w:r w:rsidR="008D2846" w:rsidRPr="00C71011">
        <w:rPr>
          <w:lang w:val="it-IT"/>
        </w:rPr>
        <w:t xml:space="preserve">l’innovazione e </w:t>
      </w:r>
      <w:r w:rsidRPr="00C71011">
        <w:rPr>
          <w:lang w:val="it-IT"/>
        </w:rPr>
        <w:t>del</w:t>
      </w:r>
      <w:r w:rsidR="008D2846" w:rsidRPr="00C71011">
        <w:rPr>
          <w:lang w:val="it-IT"/>
        </w:rPr>
        <w:t>lo sviluppo dell’intelligenza artificiale</w:t>
      </w:r>
      <w:r w:rsidRPr="00C71011">
        <w:rPr>
          <w:lang w:val="it-IT"/>
        </w:rPr>
        <w:t xml:space="preserve"> tramite</w:t>
      </w:r>
      <w:r w:rsidR="008D2846" w:rsidRPr="00C71011">
        <w:rPr>
          <w:lang w:val="it-IT"/>
        </w:rPr>
        <w:t xml:space="preserve"> la realizzazione di progetti di ricerca, di sperimentazione e di formazione. </w:t>
      </w:r>
    </w:p>
    <w:p w14:paraId="667B0AC4" w14:textId="5C9DE77D" w:rsidR="008D2846" w:rsidRPr="00C71011" w:rsidRDefault="008D2846" w:rsidP="00365E22">
      <w:pPr>
        <w:pStyle w:val="Nessunaspaziatura"/>
        <w:spacing w:after="60" w:line="276" w:lineRule="auto"/>
        <w:jc w:val="both"/>
        <w:rPr>
          <w:lang w:val="it-IT"/>
        </w:rPr>
      </w:pPr>
      <w:r w:rsidRPr="00C71011">
        <w:rPr>
          <w:bCs/>
          <w:lang w:val="it-IT"/>
        </w:rPr>
        <w:t xml:space="preserve">Il </w:t>
      </w:r>
      <w:r w:rsidRPr="00C71011">
        <w:rPr>
          <w:b/>
          <w:lang w:val="it-IT"/>
        </w:rPr>
        <w:t>comma 4</w:t>
      </w:r>
      <w:r w:rsidR="00C17869" w:rsidRPr="00C71011">
        <w:rPr>
          <w:b/>
          <w:lang w:val="it-IT"/>
        </w:rPr>
        <w:t>,</w:t>
      </w:r>
      <w:r w:rsidRPr="00C71011">
        <w:rPr>
          <w:lang w:val="it-IT"/>
        </w:rPr>
        <w:t xml:space="preserve"> prescrivendo alle Autorità di vigilanza di individuare forme di coordinamento con le Autorità che tutelano i diritti fondamentali, è privo di effetti per la finanza pubblica.</w:t>
      </w:r>
    </w:p>
    <w:p w14:paraId="3D281C98" w14:textId="1B0AFDA0" w:rsidR="0045670E" w:rsidRPr="00C71011" w:rsidRDefault="0045670E" w:rsidP="00365E22">
      <w:pPr>
        <w:pStyle w:val="Nessunaspaziatura"/>
        <w:spacing w:after="60" w:line="276" w:lineRule="auto"/>
        <w:jc w:val="both"/>
        <w:rPr>
          <w:lang w:val="it-IT"/>
        </w:rPr>
      </w:pPr>
      <w:r w:rsidRPr="00C71011">
        <w:rPr>
          <w:lang w:val="it-IT"/>
        </w:rPr>
        <w:t xml:space="preserve">Lo stesso dicasi per il </w:t>
      </w:r>
      <w:r w:rsidRPr="00C71011">
        <w:rPr>
          <w:b/>
          <w:bCs/>
          <w:lang w:val="it-IT"/>
        </w:rPr>
        <w:t>comma 5</w:t>
      </w:r>
      <w:r w:rsidRPr="00C71011">
        <w:rPr>
          <w:lang w:val="it-IT"/>
        </w:rPr>
        <w:t>, che assicura che le Autorità nazionali per l’intelligenza artificiale e le Autorità del settore finanziario individuino forme d</w:t>
      </w:r>
      <w:r w:rsidR="008502D7" w:rsidRPr="00C71011">
        <w:rPr>
          <w:lang w:val="it-IT"/>
        </w:rPr>
        <w:t>i</w:t>
      </w:r>
      <w:r w:rsidRPr="00C71011">
        <w:rPr>
          <w:lang w:val="it-IT"/>
        </w:rPr>
        <w:t xml:space="preserve"> coordinamento operativo e informativ</w:t>
      </w:r>
      <w:r w:rsidR="008502D7" w:rsidRPr="00C71011">
        <w:rPr>
          <w:lang w:val="it-IT"/>
        </w:rPr>
        <w:t>o</w:t>
      </w:r>
      <w:r w:rsidRPr="00C71011">
        <w:rPr>
          <w:lang w:val="it-IT"/>
        </w:rPr>
        <w:t xml:space="preserve"> con il </w:t>
      </w:r>
      <w:r w:rsidRPr="00C71011">
        <w:rPr>
          <w:lang w:val="it-IT"/>
        </w:rPr>
        <w:lastRenderedPageBreak/>
        <w:t>Garante per la protezione dei dati personali per garantire, ove necessario, la tempestiv</w:t>
      </w:r>
      <w:r w:rsidR="008502D7" w:rsidRPr="00C71011">
        <w:rPr>
          <w:lang w:val="it-IT"/>
        </w:rPr>
        <w:t>a</w:t>
      </w:r>
      <w:r w:rsidRPr="00C71011">
        <w:rPr>
          <w:lang w:val="it-IT"/>
        </w:rPr>
        <w:t xml:space="preserve"> e completa condivisione delle informazioni utili all’esercizio delle funzioni di rispettiva competenza.  </w:t>
      </w:r>
    </w:p>
    <w:p w14:paraId="783937AE" w14:textId="0723A861" w:rsidR="00D12850" w:rsidRPr="00C71011" w:rsidRDefault="00D12850" w:rsidP="00365E22">
      <w:pPr>
        <w:pStyle w:val="Nessunaspaziatura"/>
        <w:spacing w:after="60" w:line="276" w:lineRule="auto"/>
        <w:jc w:val="both"/>
        <w:rPr>
          <w:lang w:val="it-IT"/>
        </w:rPr>
      </w:pPr>
      <w:r w:rsidRPr="00C71011">
        <w:rPr>
          <w:rStyle w:val="Nessuno"/>
          <w:color w:val="000000" w:themeColor="text1"/>
        </w:rPr>
        <w:t xml:space="preserve">Ai sensi del </w:t>
      </w:r>
      <w:r w:rsidRPr="00C71011">
        <w:rPr>
          <w:rStyle w:val="Nessuno"/>
          <w:b/>
          <w:bCs/>
          <w:color w:val="000000" w:themeColor="text1"/>
        </w:rPr>
        <w:t>comma 6</w:t>
      </w:r>
      <w:r w:rsidRPr="00C71011">
        <w:rPr>
          <w:rStyle w:val="Nessuno"/>
          <w:color w:val="000000" w:themeColor="text1"/>
        </w:rPr>
        <w:t>, infine, si prevede che, n</w:t>
      </w:r>
      <w:r w:rsidRPr="00C71011">
        <w:rPr>
          <w:color w:val="000000" w:themeColor="text1"/>
          <w:lang w:val="it-IT"/>
        </w:rPr>
        <w:t>ell’esercizio dei poteri di vigilanza e ispettivi di cui al successivo articolo 15, l’ACN</w:t>
      </w:r>
      <w:r w:rsidR="00286993" w:rsidRPr="00C71011">
        <w:rPr>
          <w:color w:val="000000" w:themeColor="text1"/>
          <w:lang w:val="it-IT"/>
        </w:rPr>
        <w:t xml:space="preserve"> </w:t>
      </w:r>
      <w:r w:rsidRPr="00C71011">
        <w:rPr>
          <w:color w:val="000000" w:themeColor="text1"/>
          <w:lang w:val="it-IT"/>
        </w:rPr>
        <w:t>individui forme di coordinamento operativo e informativo con il Corpo della guardia di finanza funzionali all’assolvimento dei compiti di cui al decreto legislativo 19 marzo 2001, n. 68 e al decreto legislativo 21 novembre 2007, n. 231.</w:t>
      </w:r>
    </w:p>
    <w:p w14:paraId="1958F366" w14:textId="2F53E838" w:rsidR="008D2846" w:rsidRPr="00C71011" w:rsidRDefault="008D2846" w:rsidP="00365E22">
      <w:pPr>
        <w:pStyle w:val="Nessunaspaziatura"/>
        <w:spacing w:after="60" w:line="276" w:lineRule="auto"/>
        <w:jc w:val="both"/>
        <w:rPr>
          <w:lang w:val="it-IT"/>
        </w:rPr>
      </w:pPr>
      <w:r w:rsidRPr="00C71011">
        <w:rPr>
          <w:lang w:val="it-IT"/>
        </w:rPr>
        <w:t>L’</w:t>
      </w:r>
      <w:r w:rsidRPr="00C71011">
        <w:rPr>
          <w:b/>
          <w:bCs/>
          <w:lang w:val="it-IT"/>
        </w:rPr>
        <w:t>articolo 8</w:t>
      </w:r>
      <w:r w:rsidRPr="00C71011">
        <w:rPr>
          <w:lang w:val="it-IT"/>
        </w:rPr>
        <w:t xml:space="preserve"> </w:t>
      </w:r>
      <w:r w:rsidR="00AC5265" w:rsidRPr="00C71011">
        <w:rPr>
          <w:lang w:val="it-IT"/>
        </w:rPr>
        <w:t>disciplina</w:t>
      </w:r>
      <w:r w:rsidRPr="00C71011">
        <w:rPr>
          <w:lang w:val="it-IT"/>
        </w:rPr>
        <w:t xml:space="preserve"> le forme di coordinamento tra </w:t>
      </w:r>
      <w:r w:rsidR="0045670E" w:rsidRPr="00C71011">
        <w:rPr>
          <w:lang w:val="it-IT"/>
        </w:rPr>
        <w:t>l’ACN</w:t>
      </w:r>
      <w:r w:rsidRPr="00C71011">
        <w:rPr>
          <w:lang w:val="it-IT"/>
        </w:rPr>
        <w:t xml:space="preserve"> e le </w:t>
      </w:r>
      <w:r w:rsidR="0045670E" w:rsidRPr="00C71011">
        <w:rPr>
          <w:lang w:val="it-IT"/>
        </w:rPr>
        <w:t>Amministrazioni di cui all’articolo 3 del decreto legislativ</w:t>
      </w:r>
      <w:r w:rsidR="008502D7" w:rsidRPr="00C71011">
        <w:rPr>
          <w:lang w:val="it-IT"/>
        </w:rPr>
        <w:t>o</w:t>
      </w:r>
      <w:r w:rsidR="0045670E" w:rsidRPr="00C71011">
        <w:rPr>
          <w:lang w:val="it-IT"/>
        </w:rPr>
        <w:t xml:space="preserve"> 12 ottobre 2022, n. 157, designate quali Autorità responsabili dell’esecuzione della normativa di armonizzazione dell’Unione europea elencata nell’allegato I del regolamento (UE) 2024/1689 (definite nel decreto “</w:t>
      </w:r>
      <w:r w:rsidRPr="00C71011">
        <w:rPr>
          <w:i/>
          <w:iCs/>
          <w:lang w:val="it-IT"/>
        </w:rPr>
        <w:t>Autorità settoriali</w:t>
      </w:r>
      <w:r w:rsidR="0045670E" w:rsidRPr="00C71011">
        <w:rPr>
          <w:i/>
          <w:iCs/>
          <w:lang w:val="it-IT"/>
        </w:rPr>
        <w:t xml:space="preserve"> di vigilanza del mercato</w:t>
      </w:r>
      <w:r w:rsidR="0045670E" w:rsidRPr="00C71011">
        <w:rPr>
          <w:lang w:val="it-IT"/>
        </w:rPr>
        <w:t>”). L</w:t>
      </w:r>
      <w:r w:rsidRPr="00C71011">
        <w:rPr>
          <w:lang w:val="it-IT"/>
        </w:rPr>
        <w:t>a disposizione ha carattere meramente organizzativo e, pertanto, non comporta nuovi o maggiori oneri a carico della finanza pubblica.</w:t>
      </w:r>
    </w:p>
    <w:p w14:paraId="0ADB235B" w14:textId="77777777" w:rsidR="0045670E" w:rsidRPr="00C71011" w:rsidRDefault="0045670E" w:rsidP="00365E22">
      <w:pPr>
        <w:pStyle w:val="Nessunaspaziatura"/>
        <w:spacing w:after="60" w:line="276" w:lineRule="auto"/>
        <w:jc w:val="both"/>
        <w:rPr>
          <w:lang w:val="it-IT"/>
        </w:rPr>
      </w:pPr>
    </w:p>
    <w:p w14:paraId="528D8E6D" w14:textId="6AB4CF1F" w:rsidR="002C6576" w:rsidRPr="00C71011" w:rsidRDefault="0045670E" w:rsidP="00365E22">
      <w:pPr>
        <w:pStyle w:val="Nessunaspaziatura"/>
        <w:spacing w:after="60" w:line="276" w:lineRule="auto"/>
        <w:jc w:val="both"/>
        <w:rPr>
          <w:lang w:val="it-IT"/>
        </w:rPr>
      </w:pPr>
      <w:r w:rsidRPr="00C71011">
        <w:rPr>
          <w:lang w:val="it-IT"/>
        </w:rPr>
        <w:t>L’</w:t>
      </w:r>
      <w:r w:rsidRPr="00C71011">
        <w:rPr>
          <w:b/>
          <w:bCs/>
          <w:lang w:val="it-IT"/>
        </w:rPr>
        <w:t>arti</w:t>
      </w:r>
      <w:r w:rsidR="00A53D53" w:rsidRPr="00C71011">
        <w:rPr>
          <w:b/>
          <w:bCs/>
          <w:lang w:val="it-IT"/>
        </w:rPr>
        <w:t xml:space="preserve">colo 9 </w:t>
      </w:r>
      <w:r w:rsidR="009E09ED" w:rsidRPr="00C71011">
        <w:rPr>
          <w:lang w:val="it-IT"/>
        </w:rPr>
        <w:t>garantisce la collaborazione tra</w:t>
      </w:r>
      <w:r w:rsidR="000614A4" w:rsidRPr="00C71011">
        <w:rPr>
          <w:lang w:val="it-IT"/>
        </w:rPr>
        <w:t xml:space="preserve"> le diverse</w:t>
      </w:r>
      <w:r w:rsidR="009E09ED" w:rsidRPr="00C71011">
        <w:rPr>
          <w:lang w:val="it-IT"/>
        </w:rPr>
        <w:t xml:space="preserve"> Autorità nazionali di vigilanza del mercato attraverso </w:t>
      </w:r>
      <w:r w:rsidR="003675A4" w:rsidRPr="00C71011">
        <w:rPr>
          <w:lang w:val="it-IT"/>
        </w:rPr>
        <w:t>il coordinamento</w:t>
      </w:r>
      <w:r w:rsidR="009E09ED" w:rsidRPr="00C71011">
        <w:rPr>
          <w:lang w:val="it-IT"/>
        </w:rPr>
        <w:t xml:space="preserve"> delle reciproche competenze negli ambiti settoriali da ciascuna vigilati</w:t>
      </w:r>
      <w:r w:rsidR="006C6B10" w:rsidRPr="00C71011">
        <w:rPr>
          <w:lang w:val="it-IT"/>
        </w:rPr>
        <w:t xml:space="preserve"> e, in particolare, con riferimento ai sistemi di IA non ad alto rischio utilizzati nei contesti speciali di impiego di cui all’articolo 74, paragrafi 6 e 8</w:t>
      </w:r>
      <w:r w:rsidR="009E09ED" w:rsidRPr="00C71011">
        <w:rPr>
          <w:lang w:val="it-IT"/>
        </w:rPr>
        <w:t xml:space="preserve">. In tal modo, </w:t>
      </w:r>
      <w:r w:rsidR="0060192D" w:rsidRPr="00C71011">
        <w:rPr>
          <w:color w:val="000000" w:themeColor="text1"/>
          <w:lang w:val="it-IT"/>
        </w:rPr>
        <w:t xml:space="preserve">tenuto conto che le Autorità del settore finanziario sono competenti esclusivamente per la vigilanza del mercato dei sistemi di IA ad alto rischio di cui all’articolo 74, paragrafo 6, del Regolamento IA, </w:t>
      </w:r>
      <w:r w:rsidR="009E09ED" w:rsidRPr="00C71011">
        <w:rPr>
          <w:lang w:val="it-IT"/>
        </w:rPr>
        <w:t xml:space="preserve">ACN </w:t>
      </w:r>
      <w:r w:rsidR="000614A4" w:rsidRPr="00C71011">
        <w:rPr>
          <w:lang w:val="it-IT"/>
        </w:rPr>
        <w:t xml:space="preserve">potrà </w:t>
      </w:r>
      <w:r w:rsidR="008502D7" w:rsidRPr="00C71011">
        <w:rPr>
          <w:lang w:val="it-IT"/>
        </w:rPr>
        <w:t>ricevere</w:t>
      </w:r>
      <w:r w:rsidR="009E09ED" w:rsidRPr="00C71011">
        <w:rPr>
          <w:lang w:val="it-IT"/>
        </w:rPr>
        <w:t xml:space="preserve"> </w:t>
      </w:r>
      <w:r w:rsidR="008502D7" w:rsidRPr="00C71011">
        <w:rPr>
          <w:lang w:val="it-IT"/>
        </w:rPr>
        <w:t>i</w:t>
      </w:r>
      <w:r w:rsidR="009E09ED" w:rsidRPr="00C71011">
        <w:rPr>
          <w:lang w:val="it-IT"/>
        </w:rPr>
        <w:t xml:space="preserve">l supporto delle </w:t>
      </w:r>
      <w:r w:rsidR="0060192D" w:rsidRPr="00C71011">
        <w:rPr>
          <w:lang w:val="it-IT"/>
        </w:rPr>
        <w:t xml:space="preserve">medesime </w:t>
      </w:r>
      <w:r w:rsidR="009E09ED" w:rsidRPr="00C71011">
        <w:rPr>
          <w:lang w:val="it-IT"/>
        </w:rPr>
        <w:t xml:space="preserve">e del Garante per la protezione dei dati personali per vigilare i sistemi di IA non ad alto rischio impiegati nei settori </w:t>
      </w:r>
      <w:r w:rsidR="008502D7" w:rsidRPr="00C71011">
        <w:rPr>
          <w:lang w:val="it-IT"/>
        </w:rPr>
        <w:t xml:space="preserve">monitorati </w:t>
      </w:r>
      <w:r w:rsidR="009E09ED" w:rsidRPr="00C71011">
        <w:rPr>
          <w:lang w:val="it-IT"/>
        </w:rPr>
        <w:t>d</w:t>
      </w:r>
      <w:r w:rsidR="008502D7" w:rsidRPr="00C71011">
        <w:rPr>
          <w:lang w:val="it-IT"/>
        </w:rPr>
        <w:t xml:space="preserve">a </w:t>
      </w:r>
      <w:r w:rsidR="009E09ED" w:rsidRPr="00C71011">
        <w:rPr>
          <w:lang w:val="it-IT"/>
        </w:rPr>
        <w:t>queste ultime autorità</w:t>
      </w:r>
      <w:r w:rsidR="0060192D" w:rsidRPr="00C71011">
        <w:rPr>
          <w:lang w:val="it-IT"/>
        </w:rPr>
        <w:t xml:space="preserve"> e diversi da quelli sopra richiamati</w:t>
      </w:r>
      <w:r w:rsidR="009E09ED" w:rsidRPr="00C71011">
        <w:rPr>
          <w:lang w:val="it-IT"/>
        </w:rPr>
        <w:t xml:space="preserve">. </w:t>
      </w:r>
    </w:p>
    <w:p w14:paraId="1585C187" w14:textId="77777777" w:rsidR="00772A71" w:rsidRPr="00C71011" w:rsidRDefault="00772A71" w:rsidP="00365E22">
      <w:pPr>
        <w:spacing w:after="60" w:line="276" w:lineRule="auto"/>
        <w:jc w:val="both"/>
        <w:rPr>
          <w:color w:val="000000" w:themeColor="text1"/>
          <w:lang w:val="it-IT"/>
        </w:rPr>
      </w:pPr>
      <w:r w:rsidRPr="00C71011">
        <w:rPr>
          <w:color w:val="000000" w:themeColor="text1"/>
          <w:lang w:val="it-IT"/>
        </w:rPr>
        <w:t xml:space="preserve">Il </w:t>
      </w:r>
      <w:r w:rsidRPr="00C71011">
        <w:rPr>
          <w:b/>
          <w:bCs/>
          <w:color w:val="000000" w:themeColor="text1"/>
          <w:lang w:val="it-IT"/>
        </w:rPr>
        <w:t>comma 2</w:t>
      </w:r>
      <w:r w:rsidRPr="00C71011">
        <w:rPr>
          <w:color w:val="000000" w:themeColor="text1"/>
          <w:lang w:val="it-IT"/>
        </w:rPr>
        <w:t xml:space="preserve"> apre alla possibilità che, nell’esercizio dei poteri di vigilanza e ispettivi di cui al comma 1, l’ACN possa avvalersi della collaborazione del Corpo della guardia di finanza.</w:t>
      </w:r>
    </w:p>
    <w:p w14:paraId="475E145C" w14:textId="4C1A1511" w:rsidR="00772A71" w:rsidRPr="00C71011" w:rsidRDefault="00143943" w:rsidP="00365E22">
      <w:pPr>
        <w:spacing w:after="60" w:line="276" w:lineRule="auto"/>
        <w:jc w:val="both"/>
        <w:rPr>
          <w:color w:val="000000" w:themeColor="text1"/>
          <w:lang w:val="it-IT"/>
        </w:rPr>
      </w:pPr>
      <w:r w:rsidRPr="00C71011">
        <w:rPr>
          <w:color w:val="000000" w:themeColor="text1"/>
          <w:lang w:val="it-IT"/>
        </w:rPr>
        <w:t>Per le medesime</w:t>
      </w:r>
      <w:r w:rsidR="00772A71" w:rsidRPr="00C71011">
        <w:rPr>
          <w:color w:val="000000" w:themeColor="text1"/>
          <w:lang w:val="it-IT"/>
        </w:rPr>
        <w:t xml:space="preserve"> finalità di cui al comma 1, con riferimento ai sistemi di IA non ad alto rischio utilizzati nei medesimi contesti di impiego individuati dall’articolo 74, paragrafo 8, dell’AI Act, </w:t>
      </w:r>
      <w:r w:rsidRPr="00C71011">
        <w:rPr>
          <w:color w:val="000000" w:themeColor="text1"/>
          <w:lang w:val="it-IT"/>
        </w:rPr>
        <w:t xml:space="preserve">il </w:t>
      </w:r>
      <w:r w:rsidRPr="00C71011">
        <w:rPr>
          <w:b/>
          <w:bCs/>
          <w:color w:val="000000" w:themeColor="text1"/>
          <w:lang w:val="it-IT"/>
        </w:rPr>
        <w:t>comma 3</w:t>
      </w:r>
      <w:r w:rsidRPr="00C71011">
        <w:rPr>
          <w:color w:val="000000" w:themeColor="text1"/>
          <w:lang w:val="it-IT"/>
        </w:rPr>
        <w:t xml:space="preserve"> </w:t>
      </w:r>
      <w:r w:rsidR="00772A71" w:rsidRPr="00C71011">
        <w:rPr>
          <w:color w:val="000000" w:themeColor="text1"/>
          <w:lang w:val="it-IT"/>
        </w:rPr>
        <w:t>prevede che sia il Garante per la protezione dei dati personali a collaborare con l’ACN, anche attraverso la stipula degli accordi di cui sopra, per il corretto esercizio dei poteri di vigilanza</w:t>
      </w:r>
      <w:r w:rsidR="000614A4" w:rsidRPr="00C71011">
        <w:rPr>
          <w:color w:val="000000" w:themeColor="text1"/>
          <w:lang w:val="it-IT"/>
        </w:rPr>
        <w:t xml:space="preserve"> dell’Agenzia stessa</w:t>
      </w:r>
      <w:r w:rsidR="00772A71" w:rsidRPr="00C71011">
        <w:rPr>
          <w:color w:val="000000" w:themeColor="text1"/>
          <w:lang w:val="it-IT"/>
        </w:rPr>
        <w:t xml:space="preserve">. </w:t>
      </w:r>
    </w:p>
    <w:p w14:paraId="7F3FEFB9" w14:textId="77777777" w:rsidR="00772A71" w:rsidRPr="00C71011" w:rsidRDefault="00772A71" w:rsidP="00365E22">
      <w:pPr>
        <w:spacing w:after="60" w:line="276" w:lineRule="auto"/>
        <w:jc w:val="both"/>
        <w:rPr>
          <w:color w:val="000000" w:themeColor="text1"/>
          <w:lang w:val="it-IT"/>
        </w:rPr>
      </w:pPr>
      <w:r w:rsidRPr="00C71011">
        <w:rPr>
          <w:color w:val="000000" w:themeColor="text1"/>
          <w:lang w:val="it-IT"/>
        </w:rPr>
        <w:t xml:space="preserve">Analogamente, il </w:t>
      </w:r>
      <w:r w:rsidRPr="00C71011">
        <w:rPr>
          <w:b/>
          <w:bCs/>
          <w:color w:val="000000" w:themeColor="text1"/>
          <w:lang w:val="it-IT"/>
        </w:rPr>
        <w:t>comma 4</w:t>
      </w:r>
      <w:r w:rsidRPr="00C71011">
        <w:rPr>
          <w:color w:val="000000" w:themeColor="text1"/>
          <w:lang w:val="it-IT"/>
        </w:rPr>
        <w:t xml:space="preserve"> prevede che il Garante per la protezione dei dati personali e le autorità del settore finanziario collaborino con riferimento ai sistemi di IA non ad alto rischio utilizzati nei medesimi contesti di impiego previsti dall’articolo 74, paragrafo 8, del Regolamento IA.</w:t>
      </w:r>
    </w:p>
    <w:p w14:paraId="65AA521A" w14:textId="4DEAEF28" w:rsidR="006C6B10" w:rsidRPr="00C71011" w:rsidRDefault="006C6B10" w:rsidP="00365E22">
      <w:pPr>
        <w:spacing w:after="60" w:line="276" w:lineRule="auto"/>
        <w:jc w:val="both"/>
        <w:rPr>
          <w:color w:val="000000" w:themeColor="text1"/>
          <w:lang w:val="it-IT"/>
        </w:rPr>
      </w:pPr>
      <w:r w:rsidRPr="00C71011">
        <w:rPr>
          <w:color w:val="000000" w:themeColor="text1"/>
          <w:lang w:val="it-IT"/>
        </w:rPr>
        <w:t xml:space="preserve">Infine, il </w:t>
      </w:r>
      <w:r w:rsidRPr="00C71011">
        <w:rPr>
          <w:b/>
          <w:bCs/>
          <w:color w:val="000000" w:themeColor="text1"/>
          <w:lang w:val="it-IT"/>
        </w:rPr>
        <w:t>comma 5</w:t>
      </w:r>
      <w:r w:rsidRPr="00C71011">
        <w:rPr>
          <w:color w:val="000000" w:themeColor="text1"/>
          <w:lang w:val="it-IT"/>
        </w:rPr>
        <w:t xml:space="preserve"> chiarisce gli obblighi di collaborazione e scambio di informazioni tra le autorità nazionali di vigilanza del mercato e le autorità competenti a vigilare sugli istituti finanziari ai sensi della normativa di settore, considerato che entrambe, nello svolgimento delle rispettive attività ai sensi e per le finalità dell’AI Act e delle norme settoriali, possono entrare in possesso di dati o informazioni rilevanti per l’efficace esercizio di tali attività. Questa previsione è in linea con l’esigenza di assicurare il perseguimento e il coordinamento di tutti gli obiettivi definiti dal complessivo quadro normativo e di vigilanza nazionale.</w:t>
      </w:r>
    </w:p>
    <w:p w14:paraId="4E1CB7D9" w14:textId="7365B218" w:rsidR="003675A4" w:rsidRPr="009D0B4B" w:rsidRDefault="003675A4" w:rsidP="00365E22">
      <w:pPr>
        <w:spacing w:after="60" w:line="276" w:lineRule="auto"/>
        <w:jc w:val="both"/>
        <w:rPr>
          <w:color w:val="000000" w:themeColor="text1"/>
          <w:lang w:val="it-IT"/>
        </w:rPr>
      </w:pPr>
      <w:r w:rsidRPr="009D0B4B">
        <w:rPr>
          <w:color w:val="000000" w:themeColor="text1"/>
          <w:lang w:val="it-IT"/>
        </w:rPr>
        <w:t>Anche in tali casi la disposizione persegue l’</w:t>
      </w:r>
      <w:r w:rsidRPr="009D0B4B">
        <w:rPr>
          <w:lang w:val="it-IT"/>
        </w:rPr>
        <w:t>obiettivo di disciplinare le forme di coordinamento tra le varie Autorità e, pertanto, non comporta nuovi o maggiori oneri a carico della finanza pubblica</w:t>
      </w:r>
      <w:r w:rsidR="008A107E">
        <w:rPr>
          <w:lang w:val="it-IT"/>
        </w:rPr>
        <w:t>.</w:t>
      </w:r>
      <w:r w:rsidR="006C6B10">
        <w:rPr>
          <w:lang w:val="it-IT"/>
        </w:rPr>
        <w:t xml:space="preserve"> </w:t>
      </w:r>
    </w:p>
    <w:p w14:paraId="362ACBFD" w14:textId="77777777" w:rsidR="0045670E" w:rsidRPr="009D0B4B" w:rsidRDefault="0045670E" w:rsidP="00365E22">
      <w:pPr>
        <w:pStyle w:val="Nessunaspaziatura"/>
        <w:spacing w:after="60" w:line="276" w:lineRule="auto"/>
        <w:jc w:val="both"/>
        <w:rPr>
          <w:lang w:val="it-IT"/>
        </w:rPr>
      </w:pPr>
    </w:p>
    <w:p w14:paraId="047E3CA4" w14:textId="5F2E905D" w:rsidR="008D2846" w:rsidRPr="009D0B4B" w:rsidRDefault="008D2846" w:rsidP="00365E22">
      <w:pPr>
        <w:pStyle w:val="Nessunaspaziatura"/>
        <w:spacing w:after="60" w:line="276" w:lineRule="auto"/>
        <w:jc w:val="both"/>
        <w:rPr>
          <w:lang w:val="it-IT"/>
        </w:rPr>
      </w:pPr>
      <w:r w:rsidRPr="009D0B4B">
        <w:rPr>
          <w:lang w:val="it-IT"/>
        </w:rPr>
        <w:lastRenderedPageBreak/>
        <w:t>L’</w:t>
      </w:r>
      <w:r w:rsidRPr="009D0B4B">
        <w:rPr>
          <w:b/>
          <w:bCs/>
          <w:lang w:val="it-IT"/>
        </w:rPr>
        <w:t xml:space="preserve">articolo </w:t>
      </w:r>
      <w:r w:rsidR="0045670E" w:rsidRPr="009D0B4B">
        <w:rPr>
          <w:b/>
          <w:bCs/>
          <w:lang w:val="it-IT"/>
        </w:rPr>
        <w:t>10</w:t>
      </w:r>
      <w:r w:rsidRPr="009D0B4B">
        <w:rPr>
          <w:lang w:val="it-IT"/>
        </w:rPr>
        <w:t xml:space="preserve"> regola il raccordo normativo tra il decreto legislativo n. 157 del 2022 e il presente decreto individuando </w:t>
      </w:r>
      <w:r w:rsidR="00005451" w:rsidRPr="009D0B4B">
        <w:rPr>
          <w:lang w:val="it-IT"/>
        </w:rPr>
        <w:t>le disposizioni</w:t>
      </w:r>
      <w:r w:rsidRPr="009D0B4B">
        <w:rPr>
          <w:lang w:val="it-IT"/>
        </w:rPr>
        <w:t xml:space="preserve"> del cennato decreto </w:t>
      </w:r>
      <w:r w:rsidR="00005451" w:rsidRPr="009D0B4B">
        <w:rPr>
          <w:lang w:val="it-IT"/>
        </w:rPr>
        <w:t xml:space="preserve">applicabili </w:t>
      </w:r>
      <w:r w:rsidRPr="009D0B4B">
        <w:rPr>
          <w:lang w:val="it-IT"/>
        </w:rPr>
        <w:t xml:space="preserve">alle attività svolte da ACN quale Autorità di </w:t>
      </w:r>
      <w:r w:rsidR="00A53D53" w:rsidRPr="009D0B4B">
        <w:rPr>
          <w:lang w:val="it-IT"/>
        </w:rPr>
        <w:t>v</w:t>
      </w:r>
      <w:r w:rsidRPr="009D0B4B">
        <w:rPr>
          <w:lang w:val="it-IT"/>
        </w:rPr>
        <w:t xml:space="preserve">igilanza </w:t>
      </w:r>
      <w:r w:rsidR="00A53D53" w:rsidRPr="009D0B4B">
        <w:rPr>
          <w:lang w:val="it-IT"/>
        </w:rPr>
        <w:t>del mercato</w:t>
      </w:r>
      <w:r w:rsidR="00005451" w:rsidRPr="009D0B4B">
        <w:rPr>
          <w:lang w:val="it-IT"/>
        </w:rPr>
        <w:t xml:space="preserve"> dei sistemi di intelligenza artificiale</w:t>
      </w:r>
      <w:r w:rsidRPr="009D0B4B">
        <w:rPr>
          <w:lang w:val="it-IT"/>
        </w:rPr>
        <w:t xml:space="preserve">. </w:t>
      </w:r>
    </w:p>
    <w:p w14:paraId="79E915F9" w14:textId="02EF3E82" w:rsidR="008D2846" w:rsidRPr="009D0B4B" w:rsidRDefault="005E1AEE" w:rsidP="00365E22">
      <w:pPr>
        <w:pStyle w:val="Nessunaspaziatura"/>
        <w:spacing w:after="60" w:line="276" w:lineRule="auto"/>
        <w:jc w:val="both"/>
        <w:rPr>
          <w:lang w:val="it-IT"/>
        </w:rPr>
      </w:pPr>
      <w:r w:rsidRPr="009D0B4B">
        <w:rPr>
          <w:lang w:val="it-IT"/>
        </w:rPr>
        <w:t xml:space="preserve">In particolare, le </w:t>
      </w:r>
      <w:r w:rsidR="008D2846" w:rsidRPr="009D0B4B">
        <w:rPr>
          <w:lang w:val="it-IT"/>
        </w:rPr>
        <w:t>disposizioni che</w:t>
      </w:r>
      <w:r w:rsidR="009E09ED" w:rsidRPr="009D0B4B">
        <w:rPr>
          <w:lang w:val="it-IT"/>
        </w:rPr>
        <w:t xml:space="preserve"> non</w:t>
      </w:r>
      <w:r w:rsidR="008D2846" w:rsidRPr="009D0B4B">
        <w:rPr>
          <w:lang w:val="it-IT"/>
        </w:rPr>
        <w:t xml:space="preserve"> trovano applicazione </w:t>
      </w:r>
      <w:r w:rsidR="009E09ED" w:rsidRPr="009D0B4B">
        <w:rPr>
          <w:lang w:val="it-IT"/>
        </w:rPr>
        <w:t>nei confronti di</w:t>
      </w:r>
      <w:r w:rsidR="008D2846" w:rsidRPr="009D0B4B">
        <w:rPr>
          <w:lang w:val="it-IT"/>
        </w:rPr>
        <w:t xml:space="preserve"> ACN</w:t>
      </w:r>
      <w:r w:rsidR="009E09ED" w:rsidRPr="009D0B4B">
        <w:rPr>
          <w:lang w:val="it-IT"/>
        </w:rPr>
        <w:t>, in quanto incompatibili, sono gli articoli 11 e 12</w:t>
      </w:r>
      <w:r w:rsidR="00A74ADE" w:rsidRPr="009D0B4B">
        <w:rPr>
          <w:lang w:val="it-IT"/>
        </w:rPr>
        <w:t xml:space="preserve"> del decreto legislativo n. 157 del 2022</w:t>
      </w:r>
      <w:r w:rsidR="009E09ED" w:rsidRPr="009D0B4B">
        <w:rPr>
          <w:lang w:val="it-IT"/>
        </w:rPr>
        <w:t xml:space="preserve">. </w:t>
      </w:r>
      <w:r w:rsidR="008D2846" w:rsidRPr="009D0B4B">
        <w:rPr>
          <w:lang w:val="it-IT"/>
        </w:rPr>
        <w:t xml:space="preserve"> </w:t>
      </w:r>
    </w:p>
    <w:p w14:paraId="0FC90A21" w14:textId="5F9C72A7" w:rsidR="009E09ED" w:rsidRPr="009D0B4B" w:rsidRDefault="009E09ED" w:rsidP="00365E22">
      <w:pPr>
        <w:pStyle w:val="Nessunaspaziatura"/>
        <w:spacing w:after="60" w:line="276" w:lineRule="auto"/>
        <w:jc w:val="both"/>
        <w:rPr>
          <w:lang w:val="it-IT"/>
        </w:rPr>
      </w:pPr>
      <w:r w:rsidRPr="009D0B4B">
        <w:rPr>
          <w:lang w:val="it-IT"/>
        </w:rPr>
        <w:t>Rispetto all’applicazione dell’articolo 10</w:t>
      </w:r>
      <w:r w:rsidR="00A74ADE" w:rsidRPr="009D0B4B">
        <w:rPr>
          <w:lang w:val="it-IT"/>
        </w:rPr>
        <w:t xml:space="preserve"> del sopra citato decreto</w:t>
      </w:r>
      <w:r w:rsidRPr="009D0B4B">
        <w:rPr>
          <w:lang w:val="it-IT"/>
        </w:rPr>
        <w:t>, rubricato “</w:t>
      </w:r>
      <w:r w:rsidRPr="009D0B4B">
        <w:rPr>
          <w:i/>
          <w:iCs/>
          <w:lang w:val="it-IT"/>
        </w:rPr>
        <w:t>Recupero dei costi delle attività di vigilanza</w:t>
      </w:r>
      <w:r w:rsidRPr="009D0B4B">
        <w:rPr>
          <w:lang w:val="it-IT"/>
        </w:rPr>
        <w:t>”, che dispone il rimborso a carico dell’operatore interessato dei costi derivanti dalle attività di vigilanza effettuate in relazione ai prodotti risultati non conformi, i</w:t>
      </w:r>
      <w:r w:rsidR="008D2846" w:rsidRPr="009D0B4B">
        <w:rPr>
          <w:lang w:val="it-IT"/>
        </w:rPr>
        <w:t xml:space="preserve">l </w:t>
      </w:r>
      <w:r w:rsidR="008D2846" w:rsidRPr="009D0B4B">
        <w:rPr>
          <w:b/>
          <w:lang w:val="it-IT"/>
        </w:rPr>
        <w:t xml:space="preserve">comma 2 </w:t>
      </w:r>
      <w:r w:rsidR="008D2846" w:rsidRPr="009D0B4B">
        <w:rPr>
          <w:lang w:val="it-IT"/>
        </w:rPr>
        <w:t xml:space="preserve">prevede che, per quanto riguarda le attività di vigilanza svolte da ACN, i parametri di calcolo dei costi sostenuti da quest’ultima in caso di prodotti non conformi siano individuati con decreto del Presidente del Consiglio dei ministri, su proposta dell’ACN, </w:t>
      </w:r>
      <w:r w:rsidR="00772A71" w:rsidRPr="009D0B4B">
        <w:rPr>
          <w:lang w:val="it-IT"/>
        </w:rPr>
        <w:t xml:space="preserve">di concerto </w:t>
      </w:r>
      <w:r w:rsidR="008D2846" w:rsidRPr="009D0B4B">
        <w:rPr>
          <w:lang w:val="it-IT"/>
        </w:rPr>
        <w:t xml:space="preserve">con il Ministro dell’economia e delle finanze. </w:t>
      </w:r>
    </w:p>
    <w:p w14:paraId="7DFCECB6" w14:textId="0286FDF3" w:rsidR="008D2846" w:rsidRPr="009D0B4B" w:rsidRDefault="008D2846" w:rsidP="00365E22">
      <w:pPr>
        <w:pStyle w:val="Nessunaspaziatura"/>
        <w:spacing w:after="60" w:line="276" w:lineRule="auto"/>
        <w:jc w:val="both"/>
        <w:rPr>
          <w:lang w:val="it-IT"/>
        </w:rPr>
      </w:pPr>
      <w:r w:rsidRPr="009D0B4B">
        <w:rPr>
          <w:lang w:val="it-IT"/>
        </w:rPr>
        <w:t xml:space="preserve">La disposizione, per quanto illustrato, non ha effetto sui saldi </w:t>
      </w:r>
      <w:r w:rsidR="009E09ED" w:rsidRPr="009D0B4B">
        <w:rPr>
          <w:lang w:val="it-IT"/>
        </w:rPr>
        <w:t xml:space="preserve">di </w:t>
      </w:r>
      <w:r w:rsidRPr="009D0B4B">
        <w:rPr>
          <w:lang w:val="it-IT"/>
        </w:rPr>
        <w:t>bilancio e non comporta nuovi o maggiori oneri a carico della finanza pubblica.</w:t>
      </w:r>
    </w:p>
    <w:p w14:paraId="0523624B" w14:textId="77777777" w:rsidR="00E064EF" w:rsidRDefault="00E064EF" w:rsidP="00365E22">
      <w:pPr>
        <w:pStyle w:val="Nessunaspaziatura"/>
        <w:spacing w:after="60" w:line="276" w:lineRule="auto"/>
        <w:jc w:val="both"/>
        <w:rPr>
          <w:lang w:val="it-IT"/>
        </w:rPr>
      </w:pPr>
    </w:p>
    <w:p w14:paraId="6B11FAAD" w14:textId="3B1A906C" w:rsidR="008D2846" w:rsidRPr="009D0B4B" w:rsidRDefault="008D2846" w:rsidP="00365E22">
      <w:pPr>
        <w:pStyle w:val="Nessunaspaziatura"/>
        <w:spacing w:after="60" w:line="276" w:lineRule="auto"/>
        <w:jc w:val="both"/>
        <w:rPr>
          <w:lang w:val="it-IT"/>
        </w:rPr>
      </w:pPr>
      <w:r w:rsidRPr="009D0B4B">
        <w:rPr>
          <w:lang w:val="it-IT"/>
        </w:rPr>
        <w:t>L</w:t>
      </w:r>
      <w:r w:rsidR="0045670E" w:rsidRPr="009D0B4B">
        <w:rPr>
          <w:b/>
          <w:bCs/>
          <w:lang w:val="it-IT"/>
        </w:rPr>
        <w:t>’</w:t>
      </w:r>
      <w:r w:rsidRPr="009D0B4B">
        <w:rPr>
          <w:b/>
          <w:bCs/>
          <w:lang w:val="it-IT"/>
        </w:rPr>
        <w:t>articolo 1</w:t>
      </w:r>
      <w:r w:rsidR="0045670E" w:rsidRPr="009D0B4B">
        <w:rPr>
          <w:b/>
          <w:bCs/>
          <w:lang w:val="it-IT"/>
        </w:rPr>
        <w:t>1,</w:t>
      </w:r>
      <w:r w:rsidRPr="009D0B4B">
        <w:rPr>
          <w:lang w:val="it-IT"/>
        </w:rPr>
        <w:t xml:space="preserve"> nel prevedere il potere </w:t>
      </w:r>
      <w:r w:rsidR="00A74ADE" w:rsidRPr="009D0B4B">
        <w:rPr>
          <w:lang w:val="it-IT"/>
        </w:rPr>
        <w:t xml:space="preserve">delle Autorità nazionali per l’intelligenza artificiale e delle Autorità del settore finanziario </w:t>
      </w:r>
      <w:r w:rsidRPr="009D0B4B">
        <w:rPr>
          <w:lang w:val="it-IT"/>
        </w:rPr>
        <w:t>di adottare linee guida, raccomandazioni e buone pratiche</w:t>
      </w:r>
      <w:r w:rsidR="00A53D53" w:rsidRPr="009D0B4B">
        <w:rPr>
          <w:lang w:val="it-IT"/>
        </w:rPr>
        <w:t>,</w:t>
      </w:r>
      <w:r w:rsidRPr="009D0B4B">
        <w:rPr>
          <w:lang w:val="it-IT"/>
        </w:rPr>
        <w:t xml:space="preserve"> ha natura meramente ordinamentale e non ha riflessi finanziari.</w:t>
      </w:r>
    </w:p>
    <w:p w14:paraId="2BCAA2BB" w14:textId="77777777" w:rsidR="008D2846" w:rsidRDefault="008D2846" w:rsidP="00365E22">
      <w:pPr>
        <w:pStyle w:val="Nessunaspaziatura"/>
        <w:spacing w:after="60" w:line="276" w:lineRule="auto"/>
        <w:jc w:val="both"/>
        <w:rPr>
          <w:lang w:val="it-IT"/>
        </w:rPr>
      </w:pPr>
    </w:p>
    <w:p w14:paraId="3690C638" w14:textId="6002DAAE" w:rsidR="001072E4" w:rsidRPr="009D0B4B" w:rsidRDefault="001072E4" w:rsidP="00365E22">
      <w:pPr>
        <w:spacing w:after="60" w:line="276" w:lineRule="auto"/>
        <w:jc w:val="both"/>
        <w:rPr>
          <w:color w:val="000000" w:themeColor="text1"/>
          <w:lang w:val="it-IT"/>
        </w:rPr>
      </w:pPr>
      <w:r w:rsidRPr="009D0B4B">
        <w:rPr>
          <w:lang w:val="it-IT"/>
        </w:rPr>
        <w:t>L</w:t>
      </w:r>
      <w:r w:rsidRPr="009D0B4B">
        <w:rPr>
          <w:b/>
          <w:bCs/>
          <w:lang w:val="it-IT"/>
        </w:rPr>
        <w:t xml:space="preserve">’articolo 12 </w:t>
      </w:r>
      <w:r w:rsidRPr="009D0B4B">
        <w:rPr>
          <w:color w:val="000000" w:themeColor="text1"/>
          <w:lang w:val="it-IT"/>
        </w:rPr>
        <w:t xml:space="preserve">disciplina il ruolo del Comitato di coordinamento istituito presso la Presidenza del Consiglio dei ministri ai sensi dell’articolo 20, comma 3, della legge 23 settembre 2025, n. 132, nell’ambito del sistema nazionale di governance dell’intelligenza artificiale. La disposizione si inserisce nel quadro dei meccanismi di raccordo e cooperazione tra le Autorità nazionali competenti delineato dal presente decreto, con la finalità di assicurare uniformità di indirizzo, coerenza applicativa e coordinamento operativo nell’esercizio delle funzioni attribuite alle Autorità nazionali per l’intelligenza artificiale, alle Autorità del settore finanziario e alle ulteriori amministrazioni coinvolte nell’attuazione del </w:t>
      </w:r>
      <w:r w:rsidR="00E7270E">
        <w:rPr>
          <w:color w:val="000000" w:themeColor="text1"/>
          <w:lang w:val="it-IT"/>
        </w:rPr>
        <w:t>regolamento IA</w:t>
      </w:r>
      <w:r w:rsidRPr="009D0B4B">
        <w:rPr>
          <w:color w:val="000000" w:themeColor="text1"/>
          <w:lang w:val="it-IT"/>
        </w:rPr>
        <w:t xml:space="preserve">. In particolare, il </w:t>
      </w:r>
      <w:r w:rsidRPr="009D0B4B">
        <w:rPr>
          <w:b/>
          <w:bCs/>
          <w:color w:val="000000" w:themeColor="text1"/>
          <w:lang w:val="it-IT"/>
        </w:rPr>
        <w:t>comma 1</w:t>
      </w:r>
      <w:r w:rsidRPr="009D0B4B">
        <w:rPr>
          <w:color w:val="000000" w:themeColor="text1"/>
          <w:lang w:val="it-IT"/>
        </w:rPr>
        <w:t xml:space="preserve"> attribuisce al Comitato di coordinamento la facoltà di fornire indirizzi unitari ai fini della stipula degli accordi e dei protocolli d’intesa concernenti la cooperazione e il coordinamento operativo e informativo previsti dagli articoli 7, 8, 9 e 10 del decreto, nonché ai fini dell’adozione </w:t>
      </w:r>
      <w:r w:rsidRPr="004A54DE">
        <w:rPr>
          <w:color w:val="000000" w:themeColor="text1"/>
          <w:lang w:val="it-IT"/>
        </w:rPr>
        <w:t>degli atti di indirizzo di cui all’articolo 11.</w:t>
      </w:r>
      <w:r w:rsidRPr="004A54DE">
        <w:rPr>
          <w:lang w:val="it-IT"/>
        </w:rPr>
        <w:t xml:space="preserve"> </w:t>
      </w:r>
      <w:r w:rsidR="00CF0161" w:rsidRPr="004A54DE">
        <w:rPr>
          <w:lang w:val="it-IT"/>
        </w:rPr>
        <w:t xml:space="preserve">In tal senso, l’articolo prevede, altresì, che l’ACN e l’AgID </w:t>
      </w:r>
      <w:r w:rsidR="001D65E1" w:rsidRPr="004A54DE">
        <w:rPr>
          <w:lang w:val="it-IT"/>
        </w:rPr>
        <w:t>informino il Comitato di coordinamento della stipula degli accordi e dei protocolli di intesa, nonché dell’avvio delle relative negoziazioni nei casi di cui all’articolo 7</w:t>
      </w:r>
      <w:r w:rsidR="00CF0161" w:rsidRPr="004A54DE">
        <w:rPr>
          <w:lang w:val="it-IT"/>
        </w:rPr>
        <w:t xml:space="preserve">. </w:t>
      </w:r>
      <w:r w:rsidRPr="004A54DE">
        <w:rPr>
          <w:color w:val="000000" w:themeColor="text1"/>
          <w:lang w:val="it-IT"/>
        </w:rPr>
        <w:t>Le forme di collaborazione e coordinamento</w:t>
      </w:r>
      <w:r w:rsidRPr="009D0B4B">
        <w:rPr>
          <w:color w:val="000000" w:themeColor="text1"/>
          <w:lang w:val="it-IT"/>
        </w:rPr>
        <w:t xml:space="preserve"> ivi previste hanno carattere meramente procedimentale e non comportano nuovi o maggiori oneri a carico della finanza pubblica.</w:t>
      </w:r>
    </w:p>
    <w:p w14:paraId="6038CFEA" w14:textId="77777777" w:rsidR="00A53D53" w:rsidRPr="009D0B4B" w:rsidRDefault="00A53D53" w:rsidP="00365E22">
      <w:pPr>
        <w:pStyle w:val="Nessunaspaziatura"/>
        <w:spacing w:after="60" w:line="276" w:lineRule="auto"/>
        <w:jc w:val="both"/>
        <w:rPr>
          <w:b/>
          <w:lang w:val="it-IT"/>
        </w:rPr>
      </w:pPr>
    </w:p>
    <w:p w14:paraId="17D1985B" w14:textId="7B8C0617" w:rsidR="008D2846" w:rsidRPr="009D0B4B" w:rsidRDefault="004A54DE" w:rsidP="00365E22">
      <w:pPr>
        <w:pStyle w:val="Nessunaspaziatura"/>
        <w:spacing w:after="60" w:line="276" w:lineRule="auto"/>
        <w:jc w:val="both"/>
        <w:rPr>
          <w:b/>
          <w:lang w:val="it-IT"/>
        </w:rPr>
      </w:pPr>
      <w:r w:rsidRPr="004A54DE">
        <w:rPr>
          <w:rStyle w:val="Nessuno"/>
          <w:b/>
          <w:bCs/>
          <w:color w:val="000000" w:themeColor="text1"/>
        </w:rPr>
        <w:t>Sezione</w:t>
      </w:r>
      <w:r w:rsidR="008D2846" w:rsidRPr="009D0B4B">
        <w:rPr>
          <w:b/>
          <w:lang w:val="it-IT"/>
        </w:rPr>
        <w:t xml:space="preserve"> III </w:t>
      </w:r>
      <w:r w:rsidR="00A53D53" w:rsidRPr="009D0B4B">
        <w:rPr>
          <w:b/>
          <w:lang w:val="it-IT"/>
        </w:rPr>
        <w:t xml:space="preserve">– </w:t>
      </w:r>
      <w:r w:rsidR="008D2846" w:rsidRPr="009D0B4B">
        <w:rPr>
          <w:b/>
          <w:lang w:val="it-IT"/>
        </w:rPr>
        <w:t>Sistema di notifica</w:t>
      </w:r>
    </w:p>
    <w:p w14:paraId="36404901" w14:textId="5B8933F0" w:rsidR="001C2FEB" w:rsidRPr="009D0B4B" w:rsidRDefault="00772A71" w:rsidP="00365E22">
      <w:pPr>
        <w:spacing w:after="60" w:line="276" w:lineRule="auto"/>
        <w:jc w:val="both"/>
        <w:rPr>
          <w:lang w:val="it-IT"/>
        </w:rPr>
      </w:pPr>
      <w:r w:rsidRPr="009D0B4B">
        <w:rPr>
          <w:b/>
          <w:bCs/>
          <w:lang w:val="it-IT"/>
        </w:rPr>
        <w:t>L’articolo 13</w:t>
      </w:r>
      <w:r w:rsidR="00117E56">
        <w:rPr>
          <w:b/>
          <w:bCs/>
          <w:lang w:val="it-IT"/>
        </w:rPr>
        <w:t>, commi 1-3,</w:t>
      </w:r>
      <w:r w:rsidRPr="009D0B4B">
        <w:rPr>
          <w:b/>
          <w:bCs/>
          <w:lang w:val="it-IT"/>
        </w:rPr>
        <w:t xml:space="preserve"> </w:t>
      </w:r>
      <w:r w:rsidR="001C2FEB" w:rsidRPr="009D0B4B">
        <w:rPr>
          <w:lang w:val="it-IT"/>
        </w:rPr>
        <w:t>disciplina i poteri attribuiti all’AgID nell’esercizio delle funzioni di Autorità nazionale di notifica e si inserisce nell’ambito delle disposizioni volte ad assicurare l’effettivo esercizio delle procedure di notifica, nonché il corretto svolgimento delle attività di vigilanza sugli organismi di valutazione della conformità, secondo quanto stabilito dagli articoli 28, 30 e 36 del regolamento IA.</w:t>
      </w:r>
    </w:p>
    <w:p w14:paraId="2BBFBF08" w14:textId="16514B7A" w:rsidR="001C2FEB" w:rsidRPr="009D0B4B" w:rsidRDefault="001C2FEB" w:rsidP="00365E22">
      <w:pPr>
        <w:spacing w:after="60" w:line="276" w:lineRule="auto"/>
        <w:jc w:val="both"/>
        <w:rPr>
          <w:lang w:val="it-IT"/>
        </w:rPr>
      </w:pPr>
      <w:r w:rsidRPr="009D0B4B">
        <w:rPr>
          <w:lang w:val="it-IT"/>
        </w:rPr>
        <w:t xml:space="preserve">La disposizione  ha carattere ordinamentale e le attività ivi individuate </w:t>
      </w:r>
      <w:r w:rsidR="00674E19">
        <w:rPr>
          <w:lang w:val="it-IT"/>
        </w:rPr>
        <w:t>sono svolte dall’AgID nel rispetto del vincolo di invarianza finanziaria previsto.</w:t>
      </w:r>
    </w:p>
    <w:p w14:paraId="76106ED8" w14:textId="61C16D4C" w:rsidR="001C2FEB" w:rsidRPr="009D0B4B" w:rsidRDefault="001C2FEB" w:rsidP="00365E22">
      <w:pPr>
        <w:spacing w:after="60" w:line="276" w:lineRule="auto"/>
        <w:jc w:val="both"/>
        <w:rPr>
          <w:lang w:val="it-IT"/>
        </w:rPr>
      </w:pPr>
      <w:r w:rsidRPr="009D0B4B">
        <w:rPr>
          <w:lang w:val="it-IT"/>
        </w:rPr>
        <w:lastRenderedPageBreak/>
        <w:t>La previsione, dunque, non comporta nuovi o maggiori oneri a carico della finanza pubblica, in quanto i costi delle attività di controllo ordinaria e straordinaria sono posti</w:t>
      </w:r>
      <w:r w:rsidR="00674E19">
        <w:rPr>
          <w:lang w:val="it-IT"/>
        </w:rPr>
        <w:t xml:space="preserve"> dal </w:t>
      </w:r>
      <w:r w:rsidR="00674E19" w:rsidRPr="008A107E">
        <w:rPr>
          <w:b/>
          <w:bCs/>
          <w:lang w:val="it-IT"/>
        </w:rPr>
        <w:t>comma 4</w:t>
      </w:r>
      <w:r w:rsidRPr="009D0B4B">
        <w:rPr>
          <w:lang w:val="it-IT"/>
        </w:rPr>
        <w:t xml:space="preserve"> a carico dei soggetti vigilati.</w:t>
      </w:r>
    </w:p>
    <w:p w14:paraId="39B41C1A" w14:textId="42401CD0" w:rsidR="008D2846" w:rsidRPr="009D0B4B" w:rsidRDefault="00674E19" w:rsidP="00365E22">
      <w:pPr>
        <w:pStyle w:val="Nessunaspaziatura"/>
        <w:spacing w:after="60" w:line="276" w:lineRule="auto"/>
        <w:jc w:val="both"/>
        <w:rPr>
          <w:lang w:val="it-IT"/>
        </w:rPr>
      </w:pPr>
      <w:r w:rsidRPr="00674E19">
        <w:rPr>
          <w:lang w:val="it-IT"/>
        </w:rPr>
        <w:t>Le forme di collaborazione e coordinamento previste</w:t>
      </w:r>
      <w:r>
        <w:rPr>
          <w:lang w:val="it-IT"/>
        </w:rPr>
        <w:t xml:space="preserve"> dai </w:t>
      </w:r>
      <w:r w:rsidRPr="008A107E">
        <w:rPr>
          <w:b/>
          <w:bCs/>
          <w:lang w:val="it-IT"/>
        </w:rPr>
        <w:t>commi 5 e 6</w:t>
      </w:r>
      <w:r w:rsidRPr="00674E19">
        <w:rPr>
          <w:lang w:val="it-IT"/>
        </w:rPr>
        <w:t xml:space="preserve"> hanno carattere meramente procedimentale.</w:t>
      </w:r>
    </w:p>
    <w:p w14:paraId="0A201895" w14:textId="77777777" w:rsidR="00A53D53" w:rsidRPr="009D0B4B" w:rsidRDefault="00A53D53" w:rsidP="00365E22">
      <w:pPr>
        <w:pStyle w:val="Nessunaspaziatura"/>
        <w:spacing w:after="60" w:line="276" w:lineRule="auto"/>
        <w:jc w:val="both"/>
        <w:rPr>
          <w:b/>
          <w:bCs/>
          <w:lang w:val="it-IT"/>
        </w:rPr>
      </w:pPr>
    </w:p>
    <w:p w14:paraId="7B8D4936" w14:textId="77777777" w:rsidR="00365E22" w:rsidRDefault="004A54DE" w:rsidP="00365E22">
      <w:pPr>
        <w:pStyle w:val="Nessunaspaziatura"/>
        <w:spacing w:after="60" w:line="276" w:lineRule="auto"/>
        <w:jc w:val="both"/>
        <w:rPr>
          <w:b/>
          <w:bCs/>
          <w:lang w:val="it-IT"/>
        </w:rPr>
      </w:pPr>
      <w:r w:rsidRPr="004A54DE">
        <w:rPr>
          <w:rStyle w:val="Nessuno"/>
          <w:b/>
          <w:bCs/>
          <w:color w:val="000000" w:themeColor="text1"/>
        </w:rPr>
        <w:t xml:space="preserve">Sezione </w:t>
      </w:r>
      <w:r w:rsidR="008D2846" w:rsidRPr="009D0B4B">
        <w:rPr>
          <w:b/>
          <w:bCs/>
          <w:lang w:val="it-IT"/>
        </w:rPr>
        <w:t>IV</w:t>
      </w:r>
      <w:r w:rsidR="00A53D53" w:rsidRPr="009D0B4B">
        <w:rPr>
          <w:b/>
          <w:bCs/>
          <w:lang w:val="it-IT"/>
        </w:rPr>
        <w:t xml:space="preserve"> –</w:t>
      </w:r>
      <w:r w:rsidR="008D2846" w:rsidRPr="009D0B4B">
        <w:rPr>
          <w:b/>
          <w:bCs/>
          <w:lang w:val="it-IT"/>
        </w:rPr>
        <w:t xml:space="preserve"> Sistema di vigilanza del mercato </w:t>
      </w:r>
    </w:p>
    <w:p w14:paraId="36DA5AC0" w14:textId="04F30ED9" w:rsidR="001D4AB8" w:rsidRPr="00365E22" w:rsidRDefault="00A74ADE" w:rsidP="00365E22">
      <w:pPr>
        <w:pStyle w:val="Nessunaspaziatura"/>
        <w:spacing w:after="60" w:line="276" w:lineRule="auto"/>
        <w:jc w:val="both"/>
        <w:rPr>
          <w:b/>
          <w:bCs/>
          <w:lang w:val="it-IT"/>
        </w:rPr>
      </w:pPr>
      <w:r w:rsidRPr="009D0B4B">
        <w:rPr>
          <w:lang w:val="it-IT"/>
        </w:rPr>
        <w:t>L’</w:t>
      </w:r>
      <w:r w:rsidRPr="009D0B4B">
        <w:rPr>
          <w:b/>
          <w:bCs/>
          <w:lang w:val="it-IT"/>
        </w:rPr>
        <w:t xml:space="preserve">articolo </w:t>
      </w:r>
      <w:r w:rsidR="00772A71" w:rsidRPr="009D0B4B">
        <w:rPr>
          <w:b/>
          <w:bCs/>
          <w:lang w:val="it-IT"/>
        </w:rPr>
        <w:t>14</w:t>
      </w:r>
      <w:r w:rsidR="001D4AB8" w:rsidRPr="009D0B4B">
        <w:rPr>
          <w:lang w:val="it-IT"/>
        </w:rPr>
        <w:t>, nel dare attuazione all’articolo 49, paragrafo 5, del regolamento IA, disciplina le modalità attraverso cui deve essere organizzata, a livello nazionale, l’attività di registrazione dei sistemi di IA impiegati come componenti di sicurezza per le infrastrutture critiche, rinviando</w:t>
      </w:r>
      <w:r w:rsidR="0093220D">
        <w:rPr>
          <w:lang w:val="it-IT"/>
        </w:rPr>
        <w:t xml:space="preserve"> (al </w:t>
      </w:r>
      <w:r w:rsidR="0093220D" w:rsidRPr="008A107E">
        <w:rPr>
          <w:b/>
          <w:bCs/>
          <w:lang w:val="it-IT"/>
        </w:rPr>
        <w:t>comma 2</w:t>
      </w:r>
      <w:r w:rsidR="0093220D">
        <w:rPr>
          <w:lang w:val="it-IT"/>
        </w:rPr>
        <w:t>)</w:t>
      </w:r>
      <w:r w:rsidR="001D4AB8" w:rsidRPr="009D0B4B">
        <w:rPr>
          <w:lang w:val="it-IT"/>
        </w:rPr>
        <w:t xml:space="preserve"> ad un decreto del Direttore generale dell’ACN</w:t>
      </w:r>
      <w:r w:rsidR="00633FCD">
        <w:rPr>
          <w:lang w:val="it-IT"/>
        </w:rPr>
        <w:t>, di intesa con AgID</w:t>
      </w:r>
      <w:r w:rsidR="001D4AB8" w:rsidRPr="009D0B4B">
        <w:rPr>
          <w:lang w:val="it-IT"/>
        </w:rPr>
        <w:t>. Tale disposizione ha carattere essenzialmente ordinamentale e procedura</w:t>
      </w:r>
      <w:r w:rsidR="008502D7" w:rsidRPr="009D0B4B">
        <w:rPr>
          <w:lang w:val="it-IT"/>
        </w:rPr>
        <w:t>le</w:t>
      </w:r>
      <w:r w:rsidR="001D4AB8" w:rsidRPr="009D0B4B">
        <w:rPr>
          <w:lang w:val="it-IT"/>
        </w:rPr>
        <w:t xml:space="preserve">. </w:t>
      </w:r>
    </w:p>
    <w:p w14:paraId="6A171793" w14:textId="14282189" w:rsidR="00A74ADE" w:rsidRPr="009D0B4B" w:rsidRDefault="001D4AB8" w:rsidP="00365E22">
      <w:pPr>
        <w:pStyle w:val="Nessunaspaziatura"/>
        <w:spacing w:after="60" w:line="276" w:lineRule="auto"/>
        <w:jc w:val="both"/>
        <w:rPr>
          <w:lang w:val="it-IT"/>
        </w:rPr>
      </w:pPr>
      <w:r w:rsidRPr="009D0B4B">
        <w:rPr>
          <w:lang w:val="it-IT"/>
        </w:rPr>
        <w:t>Analogamente, il coordinamento informativ</w:t>
      </w:r>
      <w:r w:rsidR="008502D7" w:rsidRPr="009D0B4B">
        <w:rPr>
          <w:lang w:val="it-IT"/>
        </w:rPr>
        <w:t>o</w:t>
      </w:r>
      <w:r w:rsidRPr="009D0B4B">
        <w:rPr>
          <w:lang w:val="it-IT"/>
        </w:rPr>
        <w:t xml:space="preserve"> con il Consigliere Militare del Presidente del Consiglio dei ministr</w:t>
      </w:r>
      <w:r w:rsidR="005E1AEE" w:rsidRPr="009D0B4B">
        <w:rPr>
          <w:lang w:val="it-IT"/>
        </w:rPr>
        <w:t xml:space="preserve">i, previsto dal comma </w:t>
      </w:r>
      <w:r w:rsidR="0093220D">
        <w:rPr>
          <w:lang w:val="it-IT"/>
        </w:rPr>
        <w:t>3</w:t>
      </w:r>
      <w:r w:rsidR="005E1AEE" w:rsidRPr="009D0B4B">
        <w:rPr>
          <w:lang w:val="it-IT"/>
        </w:rPr>
        <w:t xml:space="preserve"> del presente articolo,</w:t>
      </w:r>
      <w:r w:rsidRPr="009D0B4B">
        <w:rPr>
          <w:lang w:val="it-IT"/>
        </w:rPr>
        <w:t xml:space="preserve"> si configura come un’attività di raccordo che non comporta l’istituzione di nuove strutture, né l’attribuzione di ulteriori incarichi suscettibili di generare spese aggiuntive per la finanza pubblica.  </w:t>
      </w:r>
    </w:p>
    <w:p w14:paraId="3C80F341" w14:textId="77777777" w:rsidR="00A74ADE" w:rsidRPr="009D0B4B" w:rsidRDefault="00A74ADE" w:rsidP="00365E22">
      <w:pPr>
        <w:pStyle w:val="Nessunaspaziatura"/>
        <w:spacing w:after="60" w:line="276" w:lineRule="auto"/>
        <w:jc w:val="both"/>
        <w:rPr>
          <w:lang w:val="it-IT"/>
        </w:rPr>
      </w:pPr>
    </w:p>
    <w:p w14:paraId="096D06C2" w14:textId="75484601" w:rsidR="00124840"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772A71" w:rsidRPr="009D0B4B">
        <w:rPr>
          <w:b/>
          <w:bCs/>
          <w:lang w:val="it-IT"/>
        </w:rPr>
        <w:t>15</w:t>
      </w:r>
      <w:r w:rsidR="00772A71" w:rsidRPr="009D0B4B">
        <w:rPr>
          <w:lang w:val="it-IT"/>
        </w:rPr>
        <w:t xml:space="preserve"> </w:t>
      </w:r>
      <w:r w:rsidR="00124840" w:rsidRPr="009D0B4B">
        <w:rPr>
          <w:lang w:val="it-IT"/>
        </w:rPr>
        <w:t>disciplina</w:t>
      </w:r>
      <w:r w:rsidRPr="009D0B4B">
        <w:rPr>
          <w:lang w:val="it-IT"/>
        </w:rPr>
        <w:t xml:space="preserve"> i poteri </w:t>
      </w:r>
      <w:r w:rsidR="001D4AB8" w:rsidRPr="009D0B4B">
        <w:rPr>
          <w:lang w:val="it-IT"/>
        </w:rPr>
        <w:t xml:space="preserve">di vigilanza e ispettivi </w:t>
      </w:r>
      <w:r w:rsidRPr="009D0B4B">
        <w:rPr>
          <w:lang w:val="it-IT"/>
        </w:rPr>
        <w:t>di cui l’A</w:t>
      </w:r>
      <w:r w:rsidR="001D4AB8" w:rsidRPr="009D0B4B">
        <w:rPr>
          <w:lang w:val="it-IT"/>
        </w:rPr>
        <w:t>CN</w:t>
      </w:r>
      <w:r w:rsidRPr="009D0B4B">
        <w:rPr>
          <w:lang w:val="it-IT"/>
        </w:rPr>
        <w:t xml:space="preserve"> è titolare in qualità di Autorità di </w:t>
      </w:r>
      <w:r w:rsidR="00124840" w:rsidRPr="009D0B4B">
        <w:rPr>
          <w:lang w:val="it-IT"/>
        </w:rPr>
        <w:t>v</w:t>
      </w:r>
      <w:r w:rsidRPr="009D0B4B">
        <w:rPr>
          <w:lang w:val="it-IT"/>
        </w:rPr>
        <w:t xml:space="preserve">igilanza </w:t>
      </w:r>
      <w:r w:rsidR="00B961B1" w:rsidRPr="009D0B4B">
        <w:rPr>
          <w:lang w:val="it-IT"/>
        </w:rPr>
        <w:t>del</w:t>
      </w:r>
      <w:r w:rsidRPr="009D0B4B">
        <w:rPr>
          <w:lang w:val="it-IT"/>
        </w:rPr>
        <w:t xml:space="preserve"> mercato nei sistemi IA, </w:t>
      </w:r>
      <w:r w:rsidR="00124840" w:rsidRPr="009D0B4B">
        <w:rPr>
          <w:lang w:val="it-IT"/>
        </w:rPr>
        <w:t xml:space="preserve">richiamando quanto previsto dal regolamento IA e dagli articoli 14 e 16 del regolamento (UE) 2019/1020, nonché dalla normativa nazionale di attuazione. </w:t>
      </w:r>
    </w:p>
    <w:p w14:paraId="33DC9B5E" w14:textId="4F732F3D" w:rsidR="00124840" w:rsidRPr="009D0B4B" w:rsidRDefault="00124840" w:rsidP="00365E22">
      <w:pPr>
        <w:pStyle w:val="Nessunaspaziatura"/>
        <w:spacing w:after="60" w:line="276" w:lineRule="auto"/>
        <w:jc w:val="both"/>
        <w:rPr>
          <w:lang w:val="it-IT"/>
        </w:rPr>
      </w:pPr>
      <w:r w:rsidRPr="009D0B4B">
        <w:rPr>
          <w:lang w:val="it-IT"/>
        </w:rPr>
        <w:t xml:space="preserve">In relazione allo sviluppo in sicurezza delle prove in condizioni reali, il </w:t>
      </w:r>
      <w:r w:rsidRPr="009D0B4B">
        <w:rPr>
          <w:b/>
          <w:bCs/>
          <w:lang w:val="it-IT"/>
        </w:rPr>
        <w:t>comma 2</w:t>
      </w:r>
      <w:r w:rsidRPr="009D0B4B">
        <w:rPr>
          <w:lang w:val="it-IT"/>
        </w:rPr>
        <w:t xml:space="preserve"> prevede che l’ACN disponga altresì del potere di svolgere controlli sulla conduzione di tali prove e di effettuare ispezioni a distanza o in loco, anche senza preavviso, in applicazione dell’articolo 60 del regolamento IA. </w:t>
      </w:r>
    </w:p>
    <w:p w14:paraId="3BE7F410" w14:textId="5F184E8B" w:rsidR="00124840" w:rsidRPr="009D0B4B" w:rsidRDefault="00124840" w:rsidP="00365E22">
      <w:pPr>
        <w:pStyle w:val="Nessunaspaziatura"/>
        <w:spacing w:after="60" w:line="276" w:lineRule="auto"/>
        <w:jc w:val="both"/>
        <w:rPr>
          <w:lang w:val="it-IT"/>
        </w:rPr>
      </w:pPr>
      <w:r w:rsidRPr="009D0B4B">
        <w:rPr>
          <w:lang w:val="it-IT"/>
        </w:rPr>
        <w:t xml:space="preserve">Il </w:t>
      </w:r>
      <w:r w:rsidRPr="009D0B4B">
        <w:rPr>
          <w:b/>
          <w:bCs/>
          <w:lang w:val="it-IT"/>
        </w:rPr>
        <w:t>comma 3</w:t>
      </w:r>
      <w:r w:rsidRPr="009D0B4B">
        <w:rPr>
          <w:lang w:val="it-IT"/>
        </w:rPr>
        <w:t xml:space="preserve"> rinvia la definizione delle modalità per l’esercizio dei poteri di cui ai commi 1 e 2, nonché per l’adozione delle misure di vigilanza, ad un decreto del Presidente del Consiglio dei ministri, su proposta dell’ACN. </w:t>
      </w:r>
    </w:p>
    <w:p w14:paraId="575DC909" w14:textId="0D136D41" w:rsidR="008D2846" w:rsidRPr="009D0B4B" w:rsidRDefault="00124840" w:rsidP="00365E22">
      <w:pPr>
        <w:pStyle w:val="Nessunaspaziatura"/>
        <w:spacing w:after="60" w:line="276" w:lineRule="auto"/>
        <w:jc w:val="both"/>
        <w:rPr>
          <w:lang w:val="it-IT"/>
        </w:rPr>
      </w:pPr>
      <w:r w:rsidRPr="009D0B4B">
        <w:rPr>
          <w:lang w:val="it-IT"/>
        </w:rPr>
        <w:t>S</w:t>
      </w:r>
      <w:r w:rsidR="008D2846" w:rsidRPr="009D0B4B">
        <w:rPr>
          <w:lang w:val="it-IT"/>
        </w:rPr>
        <w:t xml:space="preserve">i osserva, dal punto di vista finanziario, come l’ACN provveda all’adempimento dei predetti compiti di vigilanza e ispettivi con le risorse umane, strumentali e finanziarie disponibili a legislazione vigente, trattandosi di competenze e funzioni similari ad altre già esercitate e per le quali in ACN sono operanti apposite strutture all’interno di un assetto organizzativo definito che consentiranno di far fronte al previsto aumento dei servizi. </w:t>
      </w:r>
    </w:p>
    <w:p w14:paraId="43F647B2" w14:textId="77777777" w:rsidR="008D2846" w:rsidRPr="009D0B4B" w:rsidRDefault="008D2846" w:rsidP="00365E22">
      <w:pPr>
        <w:pStyle w:val="Nessunaspaziatura"/>
        <w:spacing w:after="60" w:line="276" w:lineRule="auto"/>
        <w:jc w:val="both"/>
        <w:rPr>
          <w:lang w:val="it-IT"/>
        </w:rPr>
      </w:pPr>
    </w:p>
    <w:p w14:paraId="5A2940F1" w14:textId="5231BFCD" w:rsidR="008D2846"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8513F3" w:rsidRPr="009D0B4B">
        <w:rPr>
          <w:b/>
          <w:bCs/>
          <w:lang w:val="it-IT"/>
        </w:rPr>
        <w:t>16</w:t>
      </w:r>
      <w:r w:rsidR="008513F3" w:rsidRPr="009D0B4B">
        <w:rPr>
          <w:lang w:val="it-IT"/>
        </w:rPr>
        <w:t xml:space="preserve"> </w:t>
      </w:r>
      <w:r w:rsidRPr="009D0B4B">
        <w:rPr>
          <w:lang w:val="it-IT"/>
        </w:rPr>
        <w:t xml:space="preserve">individua le misure di vigilanza </w:t>
      </w:r>
      <w:r w:rsidR="00AC5265" w:rsidRPr="009D0B4B">
        <w:rPr>
          <w:lang w:val="it-IT"/>
        </w:rPr>
        <w:t xml:space="preserve">di </w:t>
      </w:r>
      <w:r w:rsidR="009B521E" w:rsidRPr="009D0B4B">
        <w:rPr>
          <w:lang w:val="it-IT"/>
        </w:rPr>
        <w:t xml:space="preserve">cui è competente l’ACN nell’esercizio delle funzioni attribuite dal regolamento e dalla legge n. 132 del 2025 </w:t>
      </w:r>
      <w:r w:rsidRPr="009D0B4B">
        <w:rPr>
          <w:lang w:val="it-IT"/>
        </w:rPr>
        <w:t>e ne disciplina le modalità di attivazione</w:t>
      </w:r>
      <w:r w:rsidR="00124840" w:rsidRPr="009D0B4B">
        <w:rPr>
          <w:lang w:val="it-IT"/>
        </w:rPr>
        <w:t>. L</w:t>
      </w:r>
      <w:r w:rsidRPr="009D0B4B">
        <w:rPr>
          <w:lang w:val="it-IT"/>
        </w:rPr>
        <w:t>a disposizione, pertanto, è priva di effetti per la finanza pubblica.</w:t>
      </w:r>
    </w:p>
    <w:p w14:paraId="7BAD501D" w14:textId="77777777" w:rsidR="008D2846" w:rsidRPr="009D0B4B" w:rsidRDefault="008D2846" w:rsidP="00365E22">
      <w:pPr>
        <w:pStyle w:val="Nessunaspaziatura"/>
        <w:spacing w:after="60" w:line="276" w:lineRule="auto"/>
        <w:jc w:val="both"/>
        <w:rPr>
          <w:b/>
          <w:bCs/>
          <w:lang w:val="it-IT"/>
        </w:rPr>
      </w:pPr>
    </w:p>
    <w:p w14:paraId="35D798FF" w14:textId="02BF0DC6" w:rsidR="009D0B4B" w:rsidRPr="009D0B4B" w:rsidRDefault="00A53D53" w:rsidP="00365E22">
      <w:pPr>
        <w:spacing w:after="60" w:line="276" w:lineRule="auto"/>
        <w:jc w:val="both"/>
        <w:rPr>
          <w:color w:val="000000" w:themeColor="text1"/>
          <w:lang w:val="it-IT"/>
        </w:rPr>
      </w:pPr>
      <w:r w:rsidRPr="009D0B4B">
        <w:rPr>
          <w:lang w:val="it-IT"/>
        </w:rPr>
        <w:t>L’</w:t>
      </w:r>
      <w:r w:rsidRPr="009D0B4B">
        <w:rPr>
          <w:b/>
          <w:bCs/>
          <w:lang w:val="it-IT"/>
        </w:rPr>
        <w:t>a</w:t>
      </w:r>
      <w:r w:rsidR="008D2846" w:rsidRPr="009D0B4B">
        <w:rPr>
          <w:b/>
          <w:bCs/>
          <w:lang w:val="it-IT"/>
        </w:rPr>
        <w:t xml:space="preserve">rticolo </w:t>
      </w:r>
      <w:r w:rsidR="008513F3" w:rsidRPr="009D0B4B">
        <w:rPr>
          <w:b/>
          <w:bCs/>
          <w:lang w:val="it-IT"/>
        </w:rPr>
        <w:t>17</w:t>
      </w:r>
      <w:r w:rsidR="003675A4" w:rsidRPr="009D0B4B">
        <w:rPr>
          <w:lang w:val="it-IT"/>
        </w:rPr>
        <w:t xml:space="preserve"> </w:t>
      </w:r>
      <w:r w:rsidR="003675A4" w:rsidRPr="009D0B4B">
        <w:rPr>
          <w:color w:val="000000" w:themeColor="text1"/>
          <w:lang w:val="it-IT"/>
        </w:rPr>
        <w:t xml:space="preserve">disciplina i poteri di vigilanza e ispettivi attribuiti alle Autorità del settore finanziario nell’ambito dell’attuazione del Regolamento IA, in conformità a quanto previsto dall’articolo 74, paragrafo 6, del medesimo regolamento. La disposizione si inserisce nel quadro di governance delineato dal regolamento europeo e dall’articolo 20 della legge 23 settembre 2025, n. 132, valorizzando le competenze </w:t>
      </w:r>
      <w:r w:rsidR="003675A4" w:rsidRPr="008A107E">
        <w:rPr>
          <w:color w:val="000000" w:themeColor="text1"/>
          <w:lang w:val="it-IT"/>
        </w:rPr>
        <w:t>tecniche</w:t>
      </w:r>
      <w:r w:rsidR="005F0B21" w:rsidRPr="008A107E">
        <w:rPr>
          <w:color w:val="000000" w:themeColor="text1"/>
          <w:lang w:val="it-IT"/>
        </w:rPr>
        <w:t xml:space="preserve"> acquisite nell’ambito dell’esercizio dei</w:t>
      </w:r>
      <w:r w:rsidR="003675A4" w:rsidRPr="008A107E">
        <w:rPr>
          <w:color w:val="000000" w:themeColor="text1"/>
          <w:lang w:val="it-IT"/>
        </w:rPr>
        <w:t xml:space="preserve"> poteri di supervisione</w:t>
      </w:r>
      <w:r w:rsidR="003675A4" w:rsidRPr="009D0B4B">
        <w:rPr>
          <w:color w:val="000000" w:themeColor="text1"/>
          <w:lang w:val="it-IT"/>
        </w:rPr>
        <w:t xml:space="preserve"> già esercitati dalla Banca d’Italia, dalla CONSOB e dall’IVASS nei rispettivi ambiti settoriali. </w:t>
      </w:r>
    </w:p>
    <w:p w14:paraId="5B231E06" w14:textId="77777777" w:rsidR="009D0B4B" w:rsidRPr="009D0B4B" w:rsidRDefault="003675A4" w:rsidP="00365E22">
      <w:pPr>
        <w:spacing w:after="60" w:line="276" w:lineRule="auto"/>
        <w:jc w:val="both"/>
        <w:rPr>
          <w:color w:val="000000" w:themeColor="text1"/>
          <w:lang w:val="it-IT"/>
        </w:rPr>
      </w:pPr>
      <w:r w:rsidRPr="009D0B4B">
        <w:rPr>
          <w:color w:val="000000" w:themeColor="text1"/>
          <w:lang w:val="it-IT"/>
        </w:rPr>
        <w:lastRenderedPageBreak/>
        <w:t xml:space="preserve">In particolare, </w:t>
      </w:r>
      <w:r w:rsidRPr="009D0B4B">
        <w:rPr>
          <w:b/>
          <w:bCs/>
          <w:color w:val="000000" w:themeColor="text1"/>
          <w:lang w:val="it-IT"/>
        </w:rPr>
        <w:t>il comma 1</w:t>
      </w:r>
      <w:r w:rsidRPr="009D0B4B">
        <w:rPr>
          <w:color w:val="000000" w:themeColor="text1"/>
          <w:lang w:val="it-IT"/>
        </w:rPr>
        <w:t xml:space="preserve"> attribuisce alle Autorità del settore finanziario – in qualità di autorità nazionali di vigilanza del mercato competenti per i sistemi di IA ad alto rischio di cui </w:t>
      </w:r>
      <w:proofErr w:type="spellStart"/>
      <w:r w:rsidRPr="009D0B4B">
        <w:rPr>
          <w:color w:val="000000" w:themeColor="text1"/>
          <w:lang w:val="it-IT"/>
        </w:rPr>
        <w:t>alll’articolo</w:t>
      </w:r>
      <w:proofErr w:type="spellEnd"/>
      <w:r w:rsidRPr="009D0B4B">
        <w:rPr>
          <w:color w:val="000000" w:themeColor="text1"/>
          <w:lang w:val="it-IT"/>
        </w:rPr>
        <w:t xml:space="preserve"> 74, paragrafo 6, del Regolamento IA – tutti i poteri di vigilanza ed ispettivi previsti dal Regolamento IA nonché quelli di cui agli articoli 14 e 16 del regolamento (UE) 2019/1020 e della relativa normativa nazionale di attuazione. </w:t>
      </w:r>
    </w:p>
    <w:p w14:paraId="2462F369" w14:textId="334BA181" w:rsidR="009D0B4B" w:rsidRPr="009D0B4B" w:rsidRDefault="003675A4" w:rsidP="00365E22">
      <w:pPr>
        <w:spacing w:after="60" w:line="276" w:lineRule="auto"/>
        <w:jc w:val="both"/>
        <w:rPr>
          <w:color w:val="000000" w:themeColor="text1"/>
          <w:lang w:val="it-IT"/>
        </w:rPr>
      </w:pPr>
      <w:r w:rsidRPr="009D0B4B">
        <w:rPr>
          <w:color w:val="000000" w:themeColor="text1"/>
          <w:lang w:val="it-IT"/>
        </w:rPr>
        <w:t>In coerenza con quanto previsto per ACN dall’articolo 1</w:t>
      </w:r>
      <w:r w:rsidR="005F0B21">
        <w:rPr>
          <w:color w:val="000000" w:themeColor="text1"/>
          <w:lang w:val="it-IT"/>
        </w:rPr>
        <w:t>5</w:t>
      </w:r>
      <w:r w:rsidRPr="009D0B4B">
        <w:rPr>
          <w:color w:val="000000" w:themeColor="text1"/>
          <w:lang w:val="it-IT"/>
        </w:rPr>
        <w:t xml:space="preserve">, comma 2, il </w:t>
      </w:r>
      <w:r w:rsidRPr="009D0B4B">
        <w:rPr>
          <w:b/>
          <w:bCs/>
          <w:color w:val="000000" w:themeColor="text1"/>
          <w:lang w:val="it-IT"/>
        </w:rPr>
        <w:t>comma 2</w:t>
      </w:r>
      <w:r w:rsidR="004734EC" w:rsidRPr="008A107E">
        <w:rPr>
          <w:color w:val="000000" w:themeColor="text1"/>
          <w:lang w:val="it-IT"/>
        </w:rPr>
        <w:t xml:space="preserve"> del presente articolo</w:t>
      </w:r>
      <w:r w:rsidRPr="009D0B4B">
        <w:rPr>
          <w:color w:val="000000" w:themeColor="text1"/>
          <w:lang w:val="it-IT"/>
        </w:rPr>
        <w:t xml:space="preserve"> estende alle medesime Autorità i poteri necessari a garantire lo svolgimento in sicurezza delle prove in condizioni reali relative ai sistemi di IA ad alto rischio immessi sul mercato, messi in servizio o utilizzati dagli istituti finanziari. </w:t>
      </w:r>
    </w:p>
    <w:p w14:paraId="2162EB96" w14:textId="0BB34B5E" w:rsidR="009D0B4B" w:rsidRPr="009D0B4B" w:rsidRDefault="009D0B4B" w:rsidP="00365E22">
      <w:pPr>
        <w:spacing w:after="60" w:line="276" w:lineRule="auto"/>
        <w:jc w:val="both"/>
        <w:rPr>
          <w:color w:val="000000" w:themeColor="text1"/>
          <w:lang w:val="it-IT"/>
        </w:rPr>
      </w:pPr>
      <w:r w:rsidRPr="009D0B4B">
        <w:rPr>
          <w:color w:val="000000" w:themeColor="text1"/>
          <w:lang w:val="it-IT"/>
        </w:rPr>
        <w:t>Inoltre</w:t>
      </w:r>
      <w:r w:rsidR="003675A4" w:rsidRPr="009D0B4B">
        <w:rPr>
          <w:color w:val="000000" w:themeColor="text1"/>
          <w:lang w:val="it-IT"/>
        </w:rPr>
        <w:t xml:space="preserve">, in linea con il criterio direttivo di cui all’articolo 24, comma 2, lettera c), della legge n. 132, il </w:t>
      </w:r>
      <w:r w:rsidR="003675A4" w:rsidRPr="009D0B4B">
        <w:rPr>
          <w:b/>
          <w:bCs/>
          <w:color w:val="000000" w:themeColor="text1"/>
          <w:lang w:val="it-IT"/>
        </w:rPr>
        <w:t>comma 3</w:t>
      </w:r>
      <w:r w:rsidR="003675A4" w:rsidRPr="009D0B4B">
        <w:rPr>
          <w:color w:val="000000" w:themeColor="text1"/>
          <w:lang w:val="it-IT"/>
        </w:rPr>
        <w:t xml:space="preserve"> riconosce alle Autorità del settore finanziario la possibilità di adottare, nell’ambito delle </w:t>
      </w:r>
      <w:r w:rsidR="003675A4" w:rsidRPr="008A107E">
        <w:rPr>
          <w:color w:val="000000" w:themeColor="text1"/>
          <w:lang w:val="it-IT"/>
        </w:rPr>
        <w:t>rispettive competenze, disposizioni attuative del presente decreto, anche al fine di tenere conto degli orientamenti applicativi del Regolamento IA e di disciplinare le modalità di esercizio dei poteri di vigilanza.</w:t>
      </w:r>
      <w:r w:rsidR="005F0B21" w:rsidRPr="008A107E">
        <w:rPr>
          <w:color w:val="000000" w:themeColor="text1"/>
          <w:lang w:val="it-IT"/>
        </w:rPr>
        <w:t xml:space="preserve"> Tali poteri vengono esercitati esclusivamente nei confronti degli istituti finanziari di cui all’articolo 1 dello schema di decreto.</w:t>
      </w:r>
      <w:r w:rsidR="003675A4" w:rsidRPr="009D0B4B">
        <w:rPr>
          <w:color w:val="000000" w:themeColor="text1"/>
          <w:lang w:val="it-IT"/>
        </w:rPr>
        <w:t xml:space="preserve"> </w:t>
      </w:r>
    </w:p>
    <w:p w14:paraId="04E3598F" w14:textId="004E5E2E" w:rsidR="003675A4" w:rsidRPr="009D0B4B" w:rsidRDefault="008513F3" w:rsidP="00365E22">
      <w:pPr>
        <w:spacing w:after="60" w:line="276" w:lineRule="auto"/>
        <w:jc w:val="both"/>
        <w:rPr>
          <w:rFonts w:eastAsia="Calibri"/>
          <w:lang w:val="it-IT"/>
        </w:rPr>
      </w:pPr>
      <w:r w:rsidRPr="009D0B4B">
        <w:rPr>
          <w:color w:val="000000" w:themeColor="text1"/>
          <w:lang w:val="it-IT"/>
        </w:rPr>
        <w:t xml:space="preserve">Infine, il </w:t>
      </w:r>
      <w:r w:rsidRPr="009D0B4B">
        <w:rPr>
          <w:b/>
          <w:bCs/>
          <w:color w:val="000000" w:themeColor="text1"/>
          <w:lang w:val="it-IT"/>
        </w:rPr>
        <w:t>comma 4</w:t>
      </w:r>
      <w:r w:rsidRPr="009D0B4B">
        <w:rPr>
          <w:color w:val="000000" w:themeColor="text1"/>
          <w:lang w:val="it-IT"/>
        </w:rPr>
        <w:t xml:space="preserve"> prevede che le Autorità del settore finanziario stipulino un apposito protocollo d’intesa con il Corpo della guardia di finanza per disciplinare lo scambio di informazioni per finalità di prevenzione, accertamento e repressione degli illeciti di natura economico finanziaria.</w:t>
      </w:r>
      <w:r w:rsidR="00DB0CF7" w:rsidRPr="009D0B4B">
        <w:rPr>
          <w:color w:val="000000" w:themeColor="text1"/>
          <w:lang w:val="it-IT"/>
        </w:rPr>
        <w:t xml:space="preserve"> </w:t>
      </w:r>
      <w:r w:rsidR="003675A4" w:rsidRPr="009D0B4B">
        <w:rPr>
          <w:color w:val="000000" w:themeColor="text1"/>
          <w:lang w:val="it-IT"/>
        </w:rPr>
        <w:t xml:space="preserve">Sul punto si osserva nuovamente </w:t>
      </w:r>
      <w:r w:rsidR="003675A4" w:rsidRPr="009D0B4B">
        <w:rPr>
          <w:rFonts w:eastAsia="Calibri"/>
          <w:lang w:val="it-IT"/>
        </w:rPr>
        <w:t>che</w:t>
      </w:r>
      <w:r w:rsidR="003675A4" w:rsidRPr="009D0B4B">
        <w:rPr>
          <w:rFonts w:eastAsia="Calibri"/>
          <w:b/>
          <w:bCs/>
          <w:lang w:val="it-IT"/>
        </w:rPr>
        <w:t xml:space="preserve"> </w:t>
      </w:r>
      <w:r w:rsidR="003675A4" w:rsidRPr="009D0B4B">
        <w:rPr>
          <w:rFonts w:eastAsia="Calibri"/>
          <w:lang w:val="it-IT"/>
        </w:rPr>
        <w:t xml:space="preserve">la Banca d’Italia, ai sensi degli articoli 131 e 282 del TFUE, </w:t>
      </w:r>
      <w:r w:rsidR="009D0B4B" w:rsidRPr="009D0B4B">
        <w:rPr>
          <w:rFonts w:eastAsia="Calibri"/>
          <w:lang w:val="it-IT"/>
        </w:rPr>
        <w:t xml:space="preserve">ha </w:t>
      </w:r>
      <w:r w:rsidR="003675A4" w:rsidRPr="009D0B4B">
        <w:rPr>
          <w:rFonts w:eastAsia="Calibri"/>
          <w:lang w:val="it-IT"/>
        </w:rPr>
        <w:t>un bilancio autonomo e gode della più ampia indipendenza finanziaria mentre la Consob e l’IVASS provvedono autonomamente, con forme di autofinanziamento, attraverso le contribuzioni dovute dai soggetti vigilati, alla copertura dei costi derivanti dalle attività svolte. Pertanto, le Autorità sopra indicate provvedono all’attuazione dei compiti di vigilanza di cui al presente decreto con le risorse umane, strumentali e finanziarie disponibili a legislazione vigente, e comunque senza nuovi o maggiori oneri a carico della finanza pubblica.</w:t>
      </w:r>
    </w:p>
    <w:p w14:paraId="411A5E4F" w14:textId="77777777" w:rsidR="008D2846" w:rsidRPr="009D0B4B" w:rsidRDefault="008D2846" w:rsidP="00365E22">
      <w:pPr>
        <w:pStyle w:val="Nessunaspaziatura"/>
        <w:spacing w:after="60" w:line="276" w:lineRule="auto"/>
        <w:jc w:val="both"/>
        <w:rPr>
          <w:b/>
          <w:bCs/>
          <w:lang w:val="it-IT"/>
        </w:rPr>
      </w:pPr>
    </w:p>
    <w:p w14:paraId="2BA0D378" w14:textId="0A15EC2D" w:rsidR="008D2846" w:rsidRPr="008A107E"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8513F3" w:rsidRPr="009D0B4B">
        <w:rPr>
          <w:b/>
          <w:bCs/>
          <w:lang w:val="it-IT"/>
        </w:rPr>
        <w:t>18</w:t>
      </w:r>
      <w:r w:rsidR="008513F3" w:rsidRPr="009D0B4B">
        <w:rPr>
          <w:lang w:val="it-IT"/>
        </w:rPr>
        <w:t xml:space="preserve"> </w:t>
      </w:r>
      <w:r w:rsidR="00124840" w:rsidRPr="009D0B4B">
        <w:rPr>
          <w:lang w:val="it-IT"/>
        </w:rPr>
        <w:t xml:space="preserve">disciplina le modalità di ricezione e trattazione dei reclami </w:t>
      </w:r>
      <w:r w:rsidR="00817B79" w:rsidRPr="009D0B4B">
        <w:rPr>
          <w:lang w:val="it-IT"/>
        </w:rPr>
        <w:t xml:space="preserve">relativi a presunte violazioni del </w:t>
      </w:r>
      <w:r w:rsidR="00817B79" w:rsidRPr="008A107E">
        <w:rPr>
          <w:lang w:val="it-IT"/>
        </w:rPr>
        <w:t>regolamento IA, in at</w:t>
      </w:r>
      <w:r w:rsidR="00AC5265" w:rsidRPr="008A107E">
        <w:rPr>
          <w:lang w:val="it-IT"/>
        </w:rPr>
        <w:t>t</w:t>
      </w:r>
      <w:r w:rsidR="00817B79" w:rsidRPr="008A107E">
        <w:rPr>
          <w:lang w:val="it-IT"/>
        </w:rPr>
        <w:t>uazione dell’articolo 85 del medesimo regolamento, nonché i meccanismi di risoluzione stragiudiziale delle controversie con riferimento all’ambito finanziario, assicura</w:t>
      </w:r>
      <w:r w:rsidR="008502D7" w:rsidRPr="008A107E">
        <w:rPr>
          <w:lang w:val="it-IT"/>
        </w:rPr>
        <w:t>t</w:t>
      </w:r>
      <w:r w:rsidR="00817B79" w:rsidRPr="008A107E">
        <w:rPr>
          <w:lang w:val="it-IT"/>
        </w:rPr>
        <w:t xml:space="preserve">ivo e pensionistico. </w:t>
      </w:r>
    </w:p>
    <w:p w14:paraId="7DE77B1F" w14:textId="0671A59D" w:rsidR="008502D7" w:rsidRPr="008A107E" w:rsidRDefault="00817B79" w:rsidP="00365E22">
      <w:pPr>
        <w:pStyle w:val="Nessunaspaziatura"/>
        <w:spacing w:after="60" w:line="276" w:lineRule="auto"/>
        <w:jc w:val="both"/>
        <w:rPr>
          <w:lang w:val="it-IT"/>
        </w:rPr>
      </w:pPr>
      <w:r w:rsidRPr="008A107E">
        <w:rPr>
          <w:lang w:val="it-IT"/>
        </w:rPr>
        <w:t>In particolare, si prevede che le Autorità nazionali di vigilanza del mercato,</w:t>
      </w:r>
      <w:r w:rsidR="00554BDD" w:rsidRPr="008A107E">
        <w:rPr>
          <w:lang w:val="it-IT"/>
        </w:rPr>
        <w:t xml:space="preserve"> </w:t>
      </w:r>
      <w:r w:rsidRPr="008A107E">
        <w:rPr>
          <w:lang w:val="it-IT"/>
        </w:rPr>
        <w:t xml:space="preserve">nell’ambito delle rispettive competenze, ricevano e trattino i reclami secondo le rispettive procedure. </w:t>
      </w:r>
    </w:p>
    <w:p w14:paraId="6360883E" w14:textId="6533A18A" w:rsidR="00817B79" w:rsidRPr="008A107E" w:rsidRDefault="00817B79" w:rsidP="00365E22">
      <w:pPr>
        <w:pStyle w:val="Nessunaspaziatura"/>
        <w:spacing w:after="60" w:line="276" w:lineRule="auto"/>
        <w:jc w:val="both"/>
        <w:rPr>
          <w:lang w:val="it-IT"/>
        </w:rPr>
      </w:pPr>
      <w:r w:rsidRPr="008A107E">
        <w:rPr>
          <w:lang w:val="it-IT"/>
        </w:rPr>
        <w:t xml:space="preserve">Il </w:t>
      </w:r>
      <w:r w:rsidRPr="008A107E">
        <w:rPr>
          <w:b/>
          <w:bCs/>
          <w:lang w:val="it-IT"/>
        </w:rPr>
        <w:t>comma 2</w:t>
      </w:r>
      <w:r w:rsidRPr="008A107E">
        <w:rPr>
          <w:lang w:val="it-IT"/>
        </w:rPr>
        <w:t xml:space="preserve"> </w:t>
      </w:r>
      <w:r w:rsidR="008C0410" w:rsidRPr="008A107E">
        <w:rPr>
          <w:lang w:val="it-IT"/>
        </w:rPr>
        <w:t xml:space="preserve">demanda </w:t>
      </w:r>
      <w:r w:rsidRPr="008A107E">
        <w:rPr>
          <w:lang w:val="it-IT"/>
        </w:rPr>
        <w:t>a un decreto del Direttore generale dell’ACN la definizione delle modalità procedurali per la trattazioni dei reclami, configurandosi tale intervento come meramente attuativo e organizzativo.</w:t>
      </w:r>
    </w:p>
    <w:p w14:paraId="53DD631B" w14:textId="15EED6AD" w:rsidR="008D2846" w:rsidRPr="008A107E" w:rsidRDefault="008502D7" w:rsidP="00365E22">
      <w:pPr>
        <w:pStyle w:val="Nessunaspaziatura"/>
        <w:spacing w:after="60" w:line="276" w:lineRule="auto"/>
        <w:jc w:val="both"/>
        <w:rPr>
          <w:lang w:val="it-IT"/>
        </w:rPr>
      </w:pPr>
      <w:r w:rsidRPr="008A107E">
        <w:rPr>
          <w:lang w:val="it-IT"/>
        </w:rPr>
        <w:t xml:space="preserve">Il </w:t>
      </w:r>
      <w:r w:rsidRPr="008A107E">
        <w:rPr>
          <w:b/>
          <w:bCs/>
          <w:lang w:val="it-IT"/>
        </w:rPr>
        <w:t>c</w:t>
      </w:r>
      <w:r w:rsidR="00817B79" w:rsidRPr="008A107E">
        <w:rPr>
          <w:b/>
          <w:bCs/>
          <w:lang w:val="it-IT"/>
        </w:rPr>
        <w:t>omma 3</w:t>
      </w:r>
      <w:r w:rsidR="00817B79" w:rsidRPr="008A107E">
        <w:rPr>
          <w:lang w:val="it-IT"/>
        </w:rPr>
        <w:t xml:space="preserve"> </w:t>
      </w:r>
      <w:r w:rsidR="00554BDD" w:rsidRPr="008A107E">
        <w:rPr>
          <w:color w:val="000000" w:themeColor="text1"/>
          <w:lang w:val="it-IT"/>
        </w:rPr>
        <w:t>disciplina</w:t>
      </w:r>
      <w:r w:rsidR="002557A7" w:rsidRPr="008A107E">
        <w:rPr>
          <w:color w:val="000000" w:themeColor="text1"/>
          <w:lang w:val="it-IT"/>
        </w:rPr>
        <w:t xml:space="preserve"> la competenza dei sistemi di risoluzione stragiudiziale delle controversie già operanti nei settori bancario, finanziario e assicurativo con riferimento ai ricorsi relativi a violazioni del Regolamento IA.</w:t>
      </w:r>
      <w:r w:rsidR="00554BDD" w:rsidRPr="008A107E">
        <w:rPr>
          <w:color w:val="000000" w:themeColor="text1"/>
          <w:lang w:val="it-IT"/>
        </w:rPr>
        <w:t xml:space="preserve"> . In particolare, si prevede che</w:t>
      </w:r>
      <w:r w:rsidR="008B358A" w:rsidRPr="008A107E">
        <w:rPr>
          <w:color w:val="000000" w:themeColor="text1"/>
          <w:lang w:val="it-IT"/>
        </w:rPr>
        <w:t xml:space="preserve"> i sistemi</w:t>
      </w:r>
      <w:r w:rsidR="00554BDD" w:rsidRPr="008A107E">
        <w:rPr>
          <w:color w:val="000000" w:themeColor="text1"/>
          <w:lang w:val="it-IT"/>
        </w:rPr>
        <w:t>, di risoluzione stragiudiziale delle controversie istituiti ai sensi dell’articolo 128-</w:t>
      </w:r>
      <w:r w:rsidR="00554BDD" w:rsidRPr="008A107E">
        <w:rPr>
          <w:i/>
          <w:iCs/>
          <w:color w:val="000000" w:themeColor="text1"/>
          <w:lang w:val="it-IT"/>
        </w:rPr>
        <w:t>bis</w:t>
      </w:r>
      <w:r w:rsidR="00554BDD" w:rsidRPr="008A107E">
        <w:rPr>
          <w:color w:val="000000" w:themeColor="text1"/>
          <w:lang w:val="it-IT"/>
        </w:rPr>
        <w:t xml:space="preserve"> del decreto legislativo 1° settembre 1993, n. 385 (Arbitro Bancario Finanziario), dell’articolo 187.1 del decreto legislativo 7 settembre 2005, n. 209 (Arbitro Assicurativo) e dell’articolo 32-</w:t>
      </w:r>
      <w:r w:rsidR="00554BDD" w:rsidRPr="008A107E">
        <w:rPr>
          <w:i/>
          <w:iCs/>
          <w:color w:val="000000" w:themeColor="text1"/>
          <w:lang w:val="it-IT"/>
        </w:rPr>
        <w:t>ter</w:t>
      </w:r>
      <w:r w:rsidR="00554BDD" w:rsidRPr="008A107E">
        <w:rPr>
          <w:color w:val="000000" w:themeColor="text1"/>
          <w:lang w:val="it-IT"/>
        </w:rPr>
        <w:t>, comma 2, del decreto legislativo 24 febbraio 1998, n. 58 (Arbitro per le Controversie Finanziarie), siano competenti anche per i ricorsi concernenti violazioni del Regolamento IA</w:t>
      </w:r>
      <w:r w:rsidR="008B358A" w:rsidRPr="008A107E">
        <w:rPr>
          <w:color w:val="000000" w:themeColor="text1"/>
          <w:lang w:val="it-IT"/>
        </w:rPr>
        <w:t xml:space="preserve"> relative ai sistemi di IA ad alto rischio rientranti nelle competenze delle Autorità del settore finanziario ai sensi dell’articolo 74, paragrafo 6, del Regolamento IA, compiute dagli </w:t>
      </w:r>
      <w:r w:rsidR="008B358A" w:rsidRPr="008A107E">
        <w:rPr>
          <w:color w:val="000000" w:themeColor="text1"/>
          <w:lang w:val="it-IT"/>
        </w:rPr>
        <w:lastRenderedPageBreak/>
        <w:t>istituti finanziari che aderiscono a tali sistemi.</w:t>
      </w:r>
      <w:r w:rsidR="00554BDD" w:rsidRPr="008A107E">
        <w:rPr>
          <w:color w:val="000000" w:themeColor="text1"/>
          <w:lang w:val="it-IT"/>
        </w:rPr>
        <w:t xml:space="preserve"> La disposizione persegue la finalità di valorizzare strumenti di tutela già consolidati e specializzati, assicurando continuità e coerenza rispetto agli assetti di protezione della clientela già operanti nel settore finanziario e favorendo forme rapide ed efficaci di composizione delle controversie relative all’utilizzo dei sistemi di IA ad alto rischio</w:t>
      </w:r>
      <w:r w:rsidR="008B358A" w:rsidRPr="008A107E">
        <w:rPr>
          <w:color w:val="000000" w:themeColor="text1"/>
          <w:lang w:val="it-IT"/>
        </w:rPr>
        <w:t>.</w:t>
      </w:r>
    </w:p>
    <w:p w14:paraId="34D885BE" w14:textId="04FD3F6B" w:rsidR="00A53D53" w:rsidRPr="009D0B4B" w:rsidRDefault="00554BDD" w:rsidP="00365E22">
      <w:pPr>
        <w:pStyle w:val="Nessunaspaziatura"/>
        <w:spacing w:after="60" w:line="276" w:lineRule="auto"/>
        <w:jc w:val="both"/>
        <w:rPr>
          <w:lang w:val="it-IT"/>
        </w:rPr>
      </w:pPr>
      <w:r w:rsidRPr="008A107E">
        <w:rPr>
          <w:lang w:val="it-IT"/>
        </w:rPr>
        <w:t>La</w:t>
      </w:r>
      <w:r w:rsidR="00817B79" w:rsidRPr="008A107E">
        <w:rPr>
          <w:lang w:val="it-IT"/>
        </w:rPr>
        <w:t xml:space="preserve"> disposizione</w:t>
      </w:r>
      <w:r w:rsidRPr="008A107E">
        <w:rPr>
          <w:lang w:val="it-IT"/>
        </w:rPr>
        <w:t xml:space="preserve">, disciplinando le modalità di attuazione delle tutele previste nel regolamento IA e introducendo delle forme di raccordo con altri istituti di tutela stragiudiziale </w:t>
      </w:r>
      <w:r w:rsidR="00EC2818" w:rsidRPr="008A107E">
        <w:rPr>
          <w:lang w:val="it-IT"/>
        </w:rPr>
        <w:t>previsti dall’ordinamento dalla normativa bancaria, finanziaria e assicurativa</w:t>
      </w:r>
      <w:r w:rsidRPr="008A107E">
        <w:rPr>
          <w:lang w:val="it-IT"/>
        </w:rPr>
        <w:t>,</w:t>
      </w:r>
      <w:r w:rsidR="00817B79" w:rsidRPr="008A107E">
        <w:rPr>
          <w:lang w:val="it-IT"/>
        </w:rPr>
        <w:t xml:space="preserve"> ha </w:t>
      </w:r>
      <w:r w:rsidR="00511FE0" w:rsidRPr="008A107E">
        <w:rPr>
          <w:lang w:val="it-IT"/>
        </w:rPr>
        <w:t xml:space="preserve">natura </w:t>
      </w:r>
      <w:r w:rsidRPr="008A107E">
        <w:rPr>
          <w:lang w:val="it-IT"/>
        </w:rPr>
        <w:t>meramente</w:t>
      </w:r>
      <w:r w:rsidR="00817B79" w:rsidRPr="008A107E">
        <w:rPr>
          <w:lang w:val="it-IT"/>
        </w:rPr>
        <w:t xml:space="preserve"> ordinamentale e procedurale e non de</w:t>
      </w:r>
      <w:r w:rsidR="008D4AD6" w:rsidRPr="008A107E">
        <w:rPr>
          <w:lang w:val="it-IT"/>
        </w:rPr>
        <w:t>t</w:t>
      </w:r>
      <w:r w:rsidR="00817B79" w:rsidRPr="008A107E">
        <w:rPr>
          <w:lang w:val="it-IT"/>
        </w:rPr>
        <w:t>ermina effetti negativi sui saldi di finanza pubblica.</w:t>
      </w:r>
      <w:r w:rsidR="00817B79" w:rsidRPr="009D0B4B">
        <w:rPr>
          <w:lang w:val="it-IT"/>
        </w:rPr>
        <w:t xml:space="preserve"> </w:t>
      </w:r>
    </w:p>
    <w:p w14:paraId="7271FEE5" w14:textId="77777777" w:rsidR="00817B79" w:rsidRPr="009D0B4B" w:rsidRDefault="00817B79" w:rsidP="00365E22">
      <w:pPr>
        <w:pStyle w:val="Nessunaspaziatura"/>
        <w:spacing w:after="60" w:line="276" w:lineRule="auto"/>
        <w:jc w:val="both"/>
        <w:rPr>
          <w:b/>
          <w:bCs/>
          <w:lang w:val="it-IT"/>
        </w:rPr>
      </w:pPr>
    </w:p>
    <w:p w14:paraId="6F2FEBB5" w14:textId="57D43B7C" w:rsidR="008D2846" w:rsidRPr="009D0B4B" w:rsidRDefault="00365E22" w:rsidP="00365E22">
      <w:pPr>
        <w:pStyle w:val="Nessunaspaziatura"/>
        <w:spacing w:after="60" w:line="276" w:lineRule="auto"/>
        <w:jc w:val="both"/>
        <w:rPr>
          <w:b/>
          <w:bCs/>
          <w:lang w:val="it-IT"/>
        </w:rPr>
      </w:pPr>
      <w:r w:rsidRPr="004A54DE">
        <w:rPr>
          <w:rStyle w:val="Nessuno"/>
          <w:b/>
          <w:bCs/>
          <w:color w:val="000000" w:themeColor="text1"/>
        </w:rPr>
        <w:t>Sezione</w:t>
      </w:r>
      <w:r w:rsidR="008D2846" w:rsidRPr="009D0B4B">
        <w:rPr>
          <w:b/>
          <w:bCs/>
          <w:lang w:val="it-IT"/>
        </w:rPr>
        <w:t xml:space="preserve"> V</w:t>
      </w:r>
      <w:r w:rsidR="00A53D53" w:rsidRPr="009D0B4B">
        <w:rPr>
          <w:b/>
          <w:bCs/>
          <w:lang w:val="it-IT"/>
        </w:rPr>
        <w:t xml:space="preserve"> –</w:t>
      </w:r>
      <w:r w:rsidR="008D2846" w:rsidRPr="009D0B4B">
        <w:rPr>
          <w:b/>
          <w:bCs/>
          <w:lang w:val="it-IT"/>
        </w:rPr>
        <w:t xml:space="preserve"> Disposizioni sanzionatorie</w:t>
      </w:r>
      <w:r w:rsidR="00113CB5" w:rsidRPr="009D0B4B">
        <w:rPr>
          <w:b/>
          <w:bCs/>
          <w:lang w:val="it-IT"/>
        </w:rPr>
        <w:t xml:space="preserve"> </w:t>
      </w:r>
    </w:p>
    <w:p w14:paraId="6B727D4E" w14:textId="347B5A91" w:rsidR="008D2846"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8513F3" w:rsidRPr="009D0B4B">
        <w:rPr>
          <w:b/>
          <w:bCs/>
          <w:lang w:val="it-IT"/>
        </w:rPr>
        <w:t>19</w:t>
      </w:r>
      <w:r w:rsidR="008513F3" w:rsidRPr="009D0B4B">
        <w:rPr>
          <w:lang w:val="it-IT"/>
        </w:rPr>
        <w:t xml:space="preserve"> </w:t>
      </w:r>
      <w:r w:rsidRPr="009D0B4B">
        <w:rPr>
          <w:lang w:val="it-IT"/>
        </w:rPr>
        <w:t>individua i principi generali in materia di sanzioni</w:t>
      </w:r>
      <w:r w:rsidR="008D4AD6" w:rsidRPr="009D0B4B">
        <w:rPr>
          <w:lang w:val="it-IT"/>
        </w:rPr>
        <w:t>, includendo gli avvertimenti e le misure non pecuniarie di cui all’articolo 2</w:t>
      </w:r>
      <w:r w:rsidR="008B358A">
        <w:rPr>
          <w:lang w:val="it-IT"/>
        </w:rPr>
        <w:t>2</w:t>
      </w:r>
      <w:r w:rsidR="008D4AD6" w:rsidRPr="009D0B4B">
        <w:rPr>
          <w:lang w:val="it-IT"/>
        </w:rPr>
        <w:t>.</w:t>
      </w:r>
      <w:r w:rsidRPr="009D0B4B">
        <w:rPr>
          <w:lang w:val="it-IT"/>
        </w:rPr>
        <w:t xml:space="preserve"> </w:t>
      </w:r>
      <w:r w:rsidR="008502D7" w:rsidRPr="009D0B4B">
        <w:rPr>
          <w:lang w:val="it-IT"/>
        </w:rPr>
        <w:t>Di conseguenza</w:t>
      </w:r>
      <w:r w:rsidRPr="009D0B4B">
        <w:rPr>
          <w:lang w:val="it-IT"/>
        </w:rPr>
        <w:t xml:space="preserve">, </w:t>
      </w:r>
      <w:r w:rsidR="008D4AD6" w:rsidRPr="009D0B4B">
        <w:rPr>
          <w:lang w:val="it-IT"/>
        </w:rPr>
        <w:t xml:space="preserve">la norma </w:t>
      </w:r>
      <w:r w:rsidRPr="009D0B4B">
        <w:rPr>
          <w:lang w:val="it-IT"/>
        </w:rPr>
        <w:t>è priva di effetti per la finanza pubblica.</w:t>
      </w:r>
    </w:p>
    <w:p w14:paraId="223E1379" w14:textId="77777777" w:rsidR="008D2846" w:rsidRPr="009D0B4B" w:rsidRDefault="008D2846" w:rsidP="00365E22">
      <w:pPr>
        <w:pStyle w:val="Nessunaspaziatura"/>
        <w:spacing w:after="60" w:line="276" w:lineRule="auto"/>
        <w:jc w:val="both"/>
        <w:rPr>
          <w:lang w:val="it-IT"/>
        </w:rPr>
      </w:pPr>
    </w:p>
    <w:p w14:paraId="2422F638" w14:textId="5F89BE69" w:rsidR="001C2FEB" w:rsidRPr="009D0B4B" w:rsidRDefault="00A53D53" w:rsidP="00365E22">
      <w:pPr>
        <w:spacing w:after="60" w:line="276" w:lineRule="auto"/>
        <w:jc w:val="both"/>
        <w:rPr>
          <w:lang w:val="it-IT"/>
        </w:rPr>
      </w:pPr>
      <w:r w:rsidRPr="009D0B4B">
        <w:rPr>
          <w:lang w:val="it-IT"/>
        </w:rPr>
        <w:t>L’</w:t>
      </w:r>
      <w:r w:rsidRPr="009D0B4B">
        <w:rPr>
          <w:b/>
          <w:bCs/>
          <w:lang w:val="it-IT"/>
        </w:rPr>
        <w:t>a</w:t>
      </w:r>
      <w:r w:rsidR="008D2846" w:rsidRPr="009D0B4B">
        <w:rPr>
          <w:b/>
          <w:bCs/>
          <w:lang w:val="it-IT"/>
        </w:rPr>
        <w:t xml:space="preserve">rticolo </w:t>
      </w:r>
      <w:r w:rsidR="008513F3" w:rsidRPr="009D0B4B">
        <w:rPr>
          <w:b/>
          <w:bCs/>
          <w:lang w:val="it-IT"/>
        </w:rPr>
        <w:t xml:space="preserve">20 </w:t>
      </w:r>
      <w:r w:rsidR="001C2FEB" w:rsidRPr="009D0B4B">
        <w:rPr>
          <w:lang w:val="it-IT"/>
        </w:rPr>
        <w:t>disciplina i poteri sanzionatori attribuiti all’AgID, nell’esercizio delle funzioni di Autorità nazionale di notifica ai sensi del regolamento IA.</w:t>
      </w:r>
    </w:p>
    <w:p w14:paraId="021FE1EB" w14:textId="6A7D4338" w:rsidR="001C2FEB" w:rsidRPr="008A107E" w:rsidRDefault="001C2FEB" w:rsidP="00365E22">
      <w:pPr>
        <w:spacing w:after="60" w:line="276" w:lineRule="auto"/>
        <w:jc w:val="both"/>
        <w:rPr>
          <w:lang w:val="it-IT"/>
        </w:rPr>
      </w:pPr>
      <w:r w:rsidRPr="009D0B4B">
        <w:rPr>
          <w:lang w:val="it-IT"/>
        </w:rPr>
        <w:t>La disposizione prevede che l’AgID sia competente all’irrogazione delle sanzioni amministrative pecuniarie previste dall’articolo 99, paragrafo 4, lettera f), e paragrafo 5 del regolamento</w:t>
      </w:r>
      <w:r w:rsidR="008B358A">
        <w:rPr>
          <w:lang w:val="it-IT"/>
        </w:rPr>
        <w:t xml:space="preserve"> IA</w:t>
      </w:r>
      <w:r w:rsidRPr="009D0B4B">
        <w:rPr>
          <w:lang w:val="it-IT"/>
        </w:rPr>
        <w:t>, con specifico riferimento alle violazioni connesse all’attività degli organismi notificati e all’esercizio delle funzioni di notifica.</w:t>
      </w:r>
    </w:p>
    <w:p w14:paraId="2A373165" w14:textId="5165B6AA" w:rsidR="001C2FEB" w:rsidRPr="009D0B4B" w:rsidRDefault="001C2FEB" w:rsidP="00365E22">
      <w:pPr>
        <w:spacing w:after="60" w:line="276" w:lineRule="auto"/>
        <w:jc w:val="both"/>
        <w:rPr>
          <w:lang w:val="it-IT"/>
        </w:rPr>
      </w:pPr>
      <w:r w:rsidRPr="009D0B4B">
        <w:rPr>
          <w:lang w:val="it-IT"/>
        </w:rPr>
        <w:t>La norma si limita a individuare l’autorità competente a irrogare sanzioni amministrative pecuniarie, senza introdurre nuove fattispecie suscettibili di essere sanzionate né modificare l’entità della cornice edittale previste dalla normativa europea.</w:t>
      </w:r>
    </w:p>
    <w:p w14:paraId="226EC99C" w14:textId="77777777" w:rsidR="001C2FEB" w:rsidRPr="009D0B4B" w:rsidRDefault="001C2FEB" w:rsidP="00365E22">
      <w:pPr>
        <w:spacing w:after="60" w:line="276" w:lineRule="auto"/>
        <w:jc w:val="both"/>
        <w:rPr>
          <w:lang w:val="it-IT"/>
        </w:rPr>
      </w:pPr>
      <w:r w:rsidRPr="009D0B4B">
        <w:rPr>
          <w:lang w:val="it-IT"/>
        </w:rPr>
        <w:t>Le attività connesse all’esercizio del potere sanzionatorio rientrano nelle funzioni riconosciute all’Agenzia dal citato regolamento e le eventuali entrate, derivanti dall’irrogazione delle sanzioni amministrative pecuniarie, sono versate all’entrata del bilancio dello Stato, senza effetti sui saldi di finanza pubblica.</w:t>
      </w:r>
    </w:p>
    <w:p w14:paraId="0F3917F4" w14:textId="77777777" w:rsidR="001C2FEB" w:rsidRPr="009D0B4B" w:rsidRDefault="001C2FEB" w:rsidP="00365E22">
      <w:pPr>
        <w:spacing w:after="60" w:line="276" w:lineRule="auto"/>
        <w:jc w:val="both"/>
        <w:rPr>
          <w:lang w:val="it-IT"/>
        </w:rPr>
      </w:pPr>
      <w:r w:rsidRPr="009D0B4B">
        <w:rPr>
          <w:lang w:val="it-IT"/>
        </w:rPr>
        <w:t>Per queste ragioni, la disposizione non comporta nuovi o maggiori oneri a carico della finanza pubblica.</w:t>
      </w:r>
    </w:p>
    <w:p w14:paraId="6D25BAD2" w14:textId="77777777" w:rsidR="008D2846" w:rsidRPr="009D0B4B" w:rsidRDefault="008D2846" w:rsidP="00365E22">
      <w:pPr>
        <w:pStyle w:val="Nessunaspaziatura"/>
        <w:spacing w:after="60" w:line="276" w:lineRule="auto"/>
        <w:jc w:val="both"/>
        <w:rPr>
          <w:lang w:val="it-IT"/>
        </w:rPr>
      </w:pPr>
    </w:p>
    <w:p w14:paraId="5B7CFEA7" w14:textId="1AB56B6E" w:rsidR="008D2846"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8513F3" w:rsidRPr="009D0B4B">
        <w:rPr>
          <w:b/>
          <w:bCs/>
          <w:lang w:val="it-IT"/>
        </w:rPr>
        <w:t>21</w:t>
      </w:r>
      <w:r w:rsidR="008D4AD6" w:rsidRPr="009D0B4B">
        <w:rPr>
          <w:lang w:val="it-IT"/>
        </w:rPr>
        <w:t>,</w:t>
      </w:r>
      <w:r w:rsidRPr="009D0B4B">
        <w:rPr>
          <w:lang w:val="it-IT"/>
        </w:rPr>
        <w:t xml:space="preserve"> nell’individuare </w:t>
      </w:r>
      <w:r w:rsidR="008D4AD6" w:rsidRPr="009D0B4B">
        <w:rPr>
          <w:lang w:val="it-IT"/>
        </w:rPr>
        <w:t xml:space="preserve">i soggetti passibili di sanzioni da parte delle Autorità nazionali di vigilanza del mercato attraverso il </w:t>
      </w:r>
      <w:r w:rsidR="008C0410" w:rsidRPr="009D0B4B">
        <w:rPr>
          <w:lang w:val="it-IT"/>
        </w:rPr>
        <w:t xml:space="preserve">rinvio </w:t>
      </w:r>
      <w:r w:rsidR="008D4AD6" w:rsidRPr="009D0B4B">
        <w:rPr>
          <w:lang w:val="it-IT"/>
        </w:rPr>
        <w:t>all’arti</w:t>
      </w:r>
      <w:r w:rsidR="008502D7" w:rsidRPr="009D0B4B">
        <w:rPr>
          <w:lang w:val="it-IT"/>
        </w:rPr>
        <w:t>c</w:t>
      </w:r>
      <w:r w:rsidR="008D4AD6" w:rsidRPr="009D0B4B">
        <w:rPr>
          <w:lang w:val="it-IT"/>
        </w:rPr>
        <w:t xml:space="preserve">olo 99, paragrafo 1, del regolamento IA, </w:t>
      </w:r>
      <w:r w:rsidRPr="009D0B4B">
        <w:rPr>
          <w:lang w:val="it-IT"/>
        </w:rPr>
        <w:t>ha carattere ordinamentale e da esso non scaturiscono nuovi o maggiori oneri a carico della finanza pubblica.</w:t>
      </w:r>
    </w:p>
    <w:p w14:paraId="654229F4" w14:textId="77777777" w:rsidR="008D2846" w:rsidRPr="009D0B4B" w:rsidRDefault="008D2846" w:rsidP="00365E22">
      <w:pPr>
        <w:pStyle w:val="Nessunaspaziatura"/>
        <w:spacing w:after="60" w:line="276" w:lineRule="auto"/>
        <w:jc w:val="both"/>
        <w:rPr>
          <w:lang w:val="it-IT"/>
        </w:rPr>
      </w:pPr>
    </w:p>
    <w:p w14:paraId="0C35CA4A" w14:textId="245405BE" w:rsidR="0031562E" w:rsidRPr="009D0B4B" w:rsidRDefault="008D2846" w:rsidP="00365E22">
      <w:pPr>
        <w:pStyle w:val="Nessunaspaziatura"/>
        <w:spacing w:after="60" w:line="276" w:lineRule="auto"/>
        <w:jc w:val="both"/>
        <w:rPr>
          <w:lang w:val="it-IT"/>
        </w:rPr>
      </w:pPr>
      <w:r w:rsidRPr="009D0B4B">
        <w:rPr>
          <w:lang w:val="it-IT"/>
        </w:rPr>
        <w:t xml:space="preserve">Gli </w:t>
      </w:r>
      <w:r w:rsidRPr="009D0B4B">
        <w:rPr>
          <w:b/>
          <w:bCs/>
          <w:lang w:val="it-IT"/>
        </w:rPr>
        <w:t xml:space="preserve">articoli </w:t>
      </w:r>
      <w:r w:rsidR="008513F3" w:rsidRPr="009D0B4B">
        <w:rPr>
          <w:b/>
          <w:bCs/>
          <w:lang w:val="it-IT"/>
        </w:rPr>
        <w:t xml:space="preserve">22 </w:t>
      </w:r>
      <w:r w:rsidRPr="009D0B4B">
        <w:rPr>
          <w:b/>
          <w:bCs/>
          <w:lang w:val="it-IT"/>
        </w:rPr>
        <w:t xml:space="preserve">e </w:t>
      </w:r>
      <w:r w:rsidR="008513F3" w:rsidRPr="009D0B4B">
        <w:rPr>
          <w:b/>
          <w:bCs/>
          <w:lang w:val="it-IT"/>
        </w:rPr>
        <w:t>23</w:t>
      </w:r>
      <w:r w:rsidR="008513F3" w:rsidRPr="009D0B4B">
        <w:rPr>
          <w:lang w:val="it-IT"/>
        </w:rPr>
        <w:t xml:space="preserve"> </w:t>
      </w:r>
      <w:r w:rsidRPr="009D0B4B">
        <w:rPr>
          <w:lang w:val="it-IT"/>
        </w:rPr>
        <w:t xml:space="preserve">stabiliscono, rispettivamente, le misure </w:t>
      </w:r>
      <w:r w:rsidR="008D4AD6" w:rsidRPr="009D0B4B">
        <w:rPr>
          <w:lang w:val="it-IT"/>
        </w:rPr>
        <w:t xml:space="preserve">sanzionatorie </w:t>
      </w:r>
      <w:r w:rsidRPr="009D0B4B">
        <w:rPr>
          <w:lang w:val="it-IT"/>
        </w:rPr>
        <w:t>non pecuniarie e le sanzioni amministrative pecuniarie</w:t>
      </w:r>
      <w:r w:rsidR="008D4AD6" w:rsidRPr="009D0B4B">
        <w:rPr>
          <w:lang w:val="it-IT"/>
        </w:rPr>
        <w:t xml:space="preserve"> applicabili in caso di accertata violazione del regolamento IA</w:t>
      </w:r>
      <w:r w:rsidRPr="009D0B4B">
        <w:rPr>
          <w:lang w:val="it-IT"/>
        </w:rPr>
        <w:t xml:space="preserve">. </w:t>
      </w:r>
    </w:p>
    <w:p w14:paraId="2CB29394" w14:textId="7E4B57C8" w:rsidR="008D4AD6" w:rsidRPr="009D0B4B" w:rsidRDefault="008D4AD6" w:rsidP="00365E22">
      <w:pPr>
        <w:pStyle w:val="Nessunaspaziatura"/>
        <w:spacing w:after="60" w:line="276" w:lineRule="auto"/>
        <w:jc w:val="both"/>
        <w:rPr>
          <w:lang w:val="it-IT"/>
        </w:rPr>
      </w:pPr>
      <w:r w:rsidRPr="009D0B4B">
        <w:rPr>
          <w:lang w:val="it-IT"/>
        </w:rPr>
        <w:t xml:space="preserve">I due articoli si limitano a modulare gli strumenti sanzionatori previsti dal regolamento IA, prevedendo opzioni alternative e flessibili di intervento, senza incidere sull’assetto organizzativo </w:t>
      </w:r>
      <w:r w:rsidR="008502D7" w:rsidRPr="009D0B4B">
        <w:rPr>
          <w:lang w:val="it-IT"/>
        </w:rPr>
        <w:t>e</w:t>
      </w:r>
      <w:r w:rsidRPr="009D0B4B">
        <w:rPr>
          <w:lang w:val="it-IT"/>
        </w:rPr>
        <w:t xml:space="preserve"> sulle funzioni istituzionali delle Autorità competenti. </w:t>
      </w:r>
    </w:p>
    <w:p w14:paraId="4722F4C7" w14:textId="0A89616E" w:rsidR="008D4AD6" w:rsidRPr="009D0B4B" w:rsidRDefault="008D4AD6" w:rsidP="00365E22">
      <w:pPr>
        <w:pStyle w:val="Nessunaspaziatura"/>
        <w:spacing w:after="60" w:line="276" w:lineRule="auto"/>
        <w:jc w:val="both"/>
        <w:rPr>
          <w:lang w:val="it-IT"/>
        </w:rPr>
      </w:pPr>
      <w:r w:rsidRPr="009D0B4B">
        <w:rPr>
          <w:lang w:val="it-IT"/>
        </w:rPr>
        <w:t>Pertanto, le disposizioni non determinano effetti negativ</w:t>
      </w:r>
      <w:r w:rsidR="008502D7" w:rsidRPr="009D0B4B">
        <w:rPr>
          <w:lang w:val="it-IT"/>
        </w:rPr>
        <w:t>i</w:t>
      </w:r>
      <w:r w:rsidRPr="009D0B4B">
        <w:rPr>
          <w:lang w:val="it-IT"/>
        </w:rPr>
        <w:t xml:space="preserve"> sui saldi di finanza pubblica. </w:t>
      </w:r>
    </w:p>
    <w:p w14:paraId="7C8BBD6D" w14:textId="77777777" w:rsidR="0031562E" w:rsidRPr="009D0B4B" w:rsidRDefault="0031562E" w:rsidP="00365E22">
      <w:pPr>
        <w:pStyle w:val="Nessunaspaziatura"/>
        <w:spacing w:after="60" w:line="276" w:lineRule="auto"/>
        <w:jc w:val="both"/>
        <w:rPr>
          <w:lang w:val="it-IT"/>
        </w:rPr>
      </w:pPr>
    </w:p>
    <w:p w14:paraId="42D7C9EA" w14:textId="20A144CB" w:rsidR="008D2846" w:rsidRPr="009D0B4B" w:rsidRDefault="008D2846" w:rsidP="00365E22">
      <w:pPr>
        <w:pStyle w:val="Nessunaspaziatura"/>
        <w:spacing w:after="60" w:line="276" w:lineRule="auto"/>
        <w:jc w:val="both"/>
        <w:rPr>
          <w:lang w:val="it-IT"/>
        </w:rPr>
      </w:pPr>
      <w:r w:rsidRPr="009D0B4B">
        <w:rPr>
          <w:lang w:val="it-IT"/>
        </w:rPr>
        <w:t xml:space="preserve">Il successivo </w:t>
      </w:r>
      <w:r w:rsidRPr="009D0B4B">
        <w:rPr>
          <w:b/>
          <w:bCs/>
          <w:lang w:val="it-IT"/>
        </w:rPr>
        <w:t xml:space="preserve">articolo </w:t>
      </w:r>
      <w:r w:rsidR="008513F3" w:rsidRPr="009D0B4B">
        <w:rPr>
          <w:b/>
          <w:bCs/>
          <w:lang w:val="it-IT"/>
        </w:rPr>
        <w:t>24</w:t>
      </w:r>
      <w:r w:rsidR="008513F3" w:rsidRPr="009D0B4B">
        <w:rPr>
          <w:lang w:val="it-IT"/>
        </w:rPr>
        <w:t xml:space="preserve"> </w:t>
      </w:r>
      <w:r w:rsidRPr="009D0B4B">
        <w:rPr>
          <w:lang w:val="it-IT"/>
        </w:rPr>
        <w:t>individua le modalità di irrogazione delle anzidette sanzioni.</w:t>
      </w:r>
    </w:p>
    <w:p w14:paraId="09B73B2C" w14:textId="7F544EEF" w:rsidR="006E1A25" w:rsidRPr="009D0B4B" w:rsidRDefault="00113CB5" w:rsidP="00365E22">
      <w:pPr>
        <w:spacing w:after="60" w:line="276" w:lineRule="auto"/>
        <w:jc w:val="both"/>
        <w:rPr>
          <w:color w:val="000000" w:themeColor="text1"/>
          <w:lang w:val="it-IT"/>
        </w:rPr>
      </w:pPr>
      <w:r w:rsidRPr="009D0B4B">
        <w:rPr>
          <w:lang w:val="it-IT"/>
        </w:rPr>
        <w:lastRenderedPageBreak/>
        <w:t xml:space="preserve">Il </w:t>
      </w:r>
      <w:r w:rsidRPr="009D0B4B">
        <w:rPr>
          <w:b/>
          <w:bCs/>
          <w:lang w:val="it-IT"/>
        </w:rPr>
        <w:t>comma 2</w:t>
      </w:r>
      <w:r w:rsidR="006E1A25" w:rsidRPr="009D0B4B">
        <w:rPr>
          <w:lang w:val="it-IT"/>
        </w:rPr>
        <w:t xml:space="preserve"> , avuto riguardo alle sanzioni applicate dall’AgID, prevede che </w:t>
      </w:r>
      <w:r w:rsidR="006E1A25" w:rsidRPr="009D0B4B">
        <w:rPr>
          <w:color w:val="000000" w:themeColor="text1"/>
          <w:lang w:val="it-IT"/>
        </w:rPr>
        <w:t>l’adozione delle stesse e i relativi termini siano definiti con proprio regolamento.</w:t>
      </w:r>
    </w:p>
    <w:p w14:paraId="01BF7BE0" w14:textId="0BBCC708" w:rsidR="00113CB5" w:rsidRPr="009D0B4B" w:rsidRDefault="00113CB5" w:rsidP="00365E22">
      <w:pPr>
        <w:pStyle w:val="Nessunaspaziatura"/>
        <w:spacing w:after="60" w:line="276" w:lineRule="auto"/>
        <w:jc w:val="both"/>
        <w:rPr>
          <w:lang w:val="it-IT"/>
        </w:rPr>
      </w:pPr>
      <w:r w:rsidRPr="009D0B4B">
        <w:rPr>
          <w:lang w:val="it-IT"/>
        </w:rPr>
        <w:t>In relazione al procedimento sanzionatorio dell’ACN,</w:t>
      </w:r>
      <w:r w:rsidR="008513F3" w:rsidRPr="009D0B4B">
        <w:rPr>
          <w:lang w:val="it-IT"/>
        </w:rPr>
        <w:t xml:space="preserve"> </w:t>
      </w:r>
      <w:r w:rsidR="008513F3" w:rsidRPr="009D0B4B">
        <w:rPr>
          <w:color w:val="000000" w:themeColor="text1"/>
          <w:lang w:val="it-IT"/>
        </w:rPr>
        <w:t>al fine di assicurare il coordinamento tra il sistema sanzionatorio introdotto dal presente decreto e l’assetto organizzativo e regolamentare già vigente presso l’ACN,</w:t>
      </w:r>
      <w:r w:rsidRPr="009D0B4B">
        <w:rPr>
          <w:lang w:val="it-IT"/>
        </w:rPr>
        <w:t xml:space="preserve"> </w:t>
      </w:r>
      <w:r w:rsidR="00960E9B" w:rsidRPr="009D0B4B">
        <w:rPr>
          <w:lang w:val="it-IT"/>
        </w:rPr>
        <w:t xml:space="preserve">il </w:t>
      </w:r>
      <w:r w:rsidR="00960E9B" w:rsidRPr="009D0B4B">
        <w:rPr>
          <w:b/>
          <w:bCs/>
          <w:lang w:val="it-IT"/>
        </w:rPr>
        <w:t>comma 3</w:t>
      </w:r>
      <w:r w:rsidRPr="009D0B4B">
        <w:rPr>
          <w:lang w:val="it-IT"/>
        </w:rPr>
        <w:t xml:space="preserve"> rinvia al regolamento adottato ai sensi dell’articolo 17, comma 4-</w:t>
      </w:r>
      <w:r w:rsidRPr="009D0B4B">
        <w:rPr>
          <w:i/>
          <w:iCs/>
          <w:lang w:val="it-IT"/>
        </w:rPr>
        <w:t>quarter</w:t>
      </w:r>
      <w:r w:rsidRPr="009D0B4B">
        <w:rPr>
          <w:lang w:val="it-IT"/>
        </w:rPr>
        <w:t xml:space="preserve">, del decreto-legge 4 giugno 2021, n. 82, convertito, con modificazioni, dalla legge 4 agosto 2021, n. 109. </w:t>
      </w:r>
    </w:p>
    <w:p w14:paraId="505F2705" w14:textId="29CBD099" w:rsidR="00CA39B5" w:rsidRPr="009D0B4B" w:rsidRDefault="00743389" w:rsidP="00365E22">
      <w:pPr>
        <w:pStyle w:val="Nessunaspaziatura"/>
        <w:spacing w:after="60" w:line="276" w:lineRule="auto"/>
        <w:jc w:val="both"/>
        <w:rPr>
          <w:lang w:val="it-IT"/>
        </w:rPr>
      </w:pPr>
      <w:r w:rsidRPr="009D0B4B">
        <w:rPr>
          <w:lang w:val="it-IT"/>
        </w:rPr>
        <w:t xml:space="preserve">Il </w:t>
      </w:r>
      <w:r w:rsidRPr="009D0B4B">
        <w:rPr>
          <w:b/>
          <w:bCs/>
          <w:lang w:val="it-IT"/>
        </w:rPr>
        <w:t>comma 4</w:t>
      </w:r>
      <w:r w:rsidRPr="009D0B4B">
        <w:rPr>
          <w:lang w:val="it-IT"/>
        </w:rPr>
        <w:t xml:space="preserve"> disciplina gli obblighi di pubblicazione dei provvedimenti sanzionatori sui siti istituzionali delle Autorità competenti, prevedendo altresì specifiche ipotesi in cui la pubblicazione debba avvenire in forma anonima. Anche tali adempimenti si configurano come attività amministrative ordinarie, già svolte dalle Autorità nell’ambito dei principi di trasparenza e pubblicità, e non comportano nuovi o maggiori oneri per la finanza pubblica, essendo gestiti tramite infrastrutture informatiche e risorse già in uso.</w:t>
      </w:r>
    </w:p>
    <w:p w14:paraId="46458733" w14:textId="1BAD7641" w:rsidR="009D0B4B" w:rsidRPr="004C3DB7" w:rsidRDefault="00743389" w:rsidP="00365E22">
      <w:pPr>
        <w:spacing w:after="60" w:line="276" w:lineRule="auto"/>
        <w:jc w:val="both"/>
        <w:rPr>
          <w:rFonts w:eastAsia="Calibri"/>
          <w:iCs/>
          <w:lang w:val="it-IT"/>
        </w:rPr>
      </w:pPr>
      <w:r w:rsidRPr="009D0B4B">
        <w:rPr>
          <w:lang w:val="it-IT"/>
        </w:rPr>
        <w:t xml:space="preserve">I </w:t>
      </w:r>
      <w:r w:rsidRPr="009D0B4B">
        <w:rPr>
          <w:b/>
          <w:bCs/>
          <w:lang w:val="it-IT"/>
        </w:rPr>
        <w:t>commi 5, 6 e 7</w:t>
      </w:r>
      <w:r w:rsidR="00511FE0" w:rsidRPr="009D0B4B">
        <w:rPr>
          <w:lang w:val="it-IT"/>
        </w:rPr>
        <w:t>, avuto riguardo alle</w:t>
      </w:r>
      <w:r w:rsidR="00D97D9A">
        <w:rPr>
          <w:lang w:val="it-IT"/>
        </w:rPr>
        <w:t xml:space="preserve"> </w:t>
      </w:r>
      <w:r w:rsidR="00511FE0" w:rsidRPr="009D0B4B">
        <w:rPr>
          <w:color w:val="000000" w:themeColor="text1"/>
          <w:lang w:val="it-IT"/>
        </w:rPr>
        <w:t xml:space="preserve">sanzioni irrogate dalle Autorità di vigilanza del settore finanziario, per ragioni di omogeneità ed efficienza, chiariscono che le sanzioni sono applicate dalle stesse secondo le procedure sanzionatorie adottate secondo le rispettive normative di settore. Sul punto, si osserva che </w:t>
      </w:r>
      <w:r w:rsidR="00DA0544" w:rsidRPr="008A107E">
        <w:rPr>
          <w:rFonts w:eastAsia="Calibri"/>
          <w:iCs/>
          <w:lang w:val="it-IT"/>
        </w:rPr>
        <w:t>le Autorità sopra indicate provvedono all’attuazione dei relativi</w:t>
      </w:r>
      <w:r w:rsidR="00DA0544" w:rsidRPr="004C3DB7">
        <w:rPr>
          <w:rFonts w:eastAsia="Calibri"/>
          <w:iCs/>
          <w:lang w:val="it-IT"/>
        </w:rPr>
        <w:t xml:space="preserve"> </w:t>
      </w:r>
      <w:r w:rsidR="00DA0544" w:rsidRPr="008A107E">
        <w:rPr>
          <w:rFonts w:eastAsia="Calibri"/>
          <w:iCs/>
          <w:lang w:val="it-IT"/>
        </w:rPr>
        <w:t>compiti con le risorse umane, strumentali e finanziarie disponibili a legislazione vigente</w:t>
      </w:r>
      <w:r w:rsidR="00DA0544" w:rsidRPr="004C3DB7">
        <w:rPr>
          <w:rFonts w:eastAsia="Calibri"/>
          <w:iCs/>
          <w:lang w:val="it-IT"/>
        </w:rPr>
        <w:t xml:space="preserve">. </w:t>
      </w:r>
    </w:p>
    <w:p w14:paraId="56A2E32C" w14:textId="6CEFCAD7" w:rsidR="00DA0544" w:rsidRPr="009D0B4B" w:rsidRDefault="00DA0544" w:rsidP="00365E22">
      <w:pPr>
        <w:spacing w:after="60" w:line="276" w:lineRule="auto"/>
        <w:jc w:val="both"/>
        <w:rPr>
          <w:rFonts w:eastAsia="Calibri"/>
          <w:b/>
          <w:bCs/>
          <w:iCs/>
          <w:lang w:val="it-IT"/>
        </w:rPr>
      </w:pPr>
      <w:r w:rsidRPr="004C3DB7">
        <w:rPr>
          <w:rFonts w:eastAsia="Calibri"/>
          <w:iCs/>
          <w:lang w:val="it-IT"/>
        </w:rPr>
        <w:t>Pertanto, il complesso delle disposizioni non comporta</w:t>
      </w:r>
      <w:r w:rsidRPr="008A107E">
        <w:rPr>
          <w:rFonts w:eastAsia="Calibri"/>
          <w:iCs/>
          <w:lang w:val="it-IT"/>
        </w:rPr>
        <w:t xml:space="preserve"> nuovi o maggiori oneri a carico della finanza pubblica.</w:t>
      </w:r>
    </w:p>
    <w:p w14:paraId="6B4A314B" w14:textId="5213BBAF" w:rsidR="00113CB5" w:rsidRPr="009D0B4B" w:rsidRDefault="00113CB5" w:rsidP="00365E22">
      <w:pPr>
        <w:pStyle w:val="Nessunaspaziatura"/>
        <w:spacing w:after="60" w:line="276" w:lineRule="auto"/>
        <w:jc w:val="both"/>
        <w:rPr>
          <w:lang w:val="it-IT"/>
        </w:rPr>
      </w:pPr>
      <w:r w:rsidRPr="009D0B4B">
        <w:rPr>
          <w:lang w:val="it-IT"/>
        </w:rPr>
        <w:t xml:space="preserve">Il </w:t>
      </w:r>
      <w:r w:rsidRPr="009D0B4B">
        <w:rPr>
          <w:b/>
          <w:bCs/>
          <w:lang w:val="it-IT"/>
        </w:rPr>
        <w:t>comma 8</w:t>
      </w:r>
      <w:r w:rsidRPr="009D0B4B">
        <w:rPr>
          <w:lang w:val="it-IT"/>
        </w:rPr>
        <w:t xml:space="preserve"> prevede un obbligo informativo a carico di AgID e delle Autorità nazionali di vigilanza del mercato nei confronti di ACN affinché quest’ultima possa informare la Commissione europea delle sanzioni amministrative pecuniarie applicate e di eventuali controversie o procedimenti giudiziari correlati in Italia, in ottemperanza a quanto previsto dall’articolo 99, paragrafo 11, del regolamento IA. </w:t>
      </w:r>
      <w:r w:rsidR="00960E9B" w:rsidRPr="009D0B4B">
        <w:rPr>
          <w:lang w:val="it-IT"/>
        </w:rPr>
        <w:t>Tale strumento di raccordo informativ</w:t>
      </w:r>
      <w:r w:rsidR="008502D7" w:rsidRPr="009D0B4B">
        <w:rPr>
          <w:lang w:val="it-IT"/>
        </w:rPr>
        <w:t>o</w:t>
      </w:r>
      <w:r w:rsidR="00960E9B" w:rsidRPr="009D0B4B">
        <w:rPr>
          <w:lang w:val="it-IT"/>
        </w:rPr>
        <w:t xml:space="preserve"> ha carattere organizzativo e procedurale e non determina oneri a carico della finanza pubblica. </w:t>
      </w:r>
    </w:p>
    <w:p w14:paraId="6B69F577" w14:textId="1DC0A811" w:rsidR="008D2846" w:rsidRPr="009D0B4B" w:rsidRDefault="00960E9B" w:rsidP="00365E22">
      <w:pPr>
        <w:pStyle w:val="Nessunaspaziatura"/>
        <w:spacing w:after="60" w:line="276" w:lineRule="auto"/>
        <w:jc w:val="both"/>
        <w:rPr>
          <w:lang w:val="it-IT"/>
        </w:rPr>
      </w:pPr>
      <w:r w:rsidRPr="009D0B4B">
        <w:rPr>
          <w:lang w:val="it-IT"/>
        </w:rPr>
        <w:t>In via generale, n</w:t>
      </w:r>
      <w:r w:rsidR="008D2846" w:rsidRPr="009D0B4B">
        <w:rPr>
          <w:lang w:val="it-IT"/>
        </w:rPr>
        <w:t xml:space="preserve">on si esprime in questa sede una previsione del gettito derivante dall’eventuale irrogazione delle sanzioni ivi previste </w:t>
      </w:r>
      <w:proofErr w:type="spellStart"/>
      <w:r w:rsidR="008D2846" w:rsidRPr="009D0B4B">
        <w:rPr>
          <w:lang w:val="it-IT"/>
        </w:rPr>
        <w:t>poichè</w:t>
      </w:r>
      <w:proofErr w:type="spellEnd"/>
      <w:r w:rsidR="008D2846" w:rsidRPr="009D0B4B">
        <w:rPr>
          <w:lang w:val="it-IT"/>
        </w:rPr>
        <w:t xml:space="preserve"> </w:t>
      </w:r>
      <w:r w:rsidR="00AC5265" w:rsidRPr="009D0B4B">
        <w:rPr>
          <w:lang w:val="it-IT"/>
        </w:rPr>
        <w:t>trattasi della prima applicazione delle prescrizioni contenute</w:t>
      </w:r>
      <w:r w:rsidR="008D2846" w:rsidRPr="009D0B4B">
        <w:rPr>
          <w:lang w:val="it-IT"/>
        </w:rPr>
        <w:t xml:space="preserve"> </w:t>
      </w:r>
      <w:r w:rsidR="00AC5265" w:rsidRPr="009D0B4B">
        <w:rPr>
          <w:lang w:val="it-IT"/>
        </w:rPr>
        <w:t>n</w:t>
      </w:r>
      <w:r w:rsidR="008D4AD6" w:rsidRPr="009D0B4B">
        <w:rPr>
          <w:lang w:val="it-IT"/>
        </w:rPr>
        <w:t>el regolamento IA</w:t>
      </w:r>
      <w:r w:rsidR="00AC5265" w:rsidRPr="009D0B4B">
        <w:rPr>
          <w:lang w:val="it-IT"/>
        </w:rPr>
        <w:t>, dipendendo dal numero e dalla tipologia di violazioni che verranno accertate</w:t>
      </w:r>
      <w:r w:rsidR="008D2846" w:rsidRPr="009D0B4B">
        <w:rPr>
          <w:lang w:val="it-IT"/>
        </w:rPr>
        <w:t>.</w:t>
      </w:r>
    </w:p>
    <w:p w14:paraId="48249F76" w14:textId="77777777" w:rsidR="0031562E" w:rsidRPr="009D0B4B" w:rsidRDefault="0031562E" w:rsidP="00365E22">
      <w:pPr>
        <w:pStyle w:val="Nessunaspaziatura"/>
        <w:spacing w:after="60" w:line="276" w:lineRule="auto"/>
        <w:jc w:val="both"/>
        <w:rPr>
          <w:b/>
          <w:bCs/>
          <w:lang w:val="it-IT"/>
        </w:rPr>
      </w:pPr>
    </w:p>
    <w:p w14:paraId="74FEF177" w14:textId="1EB57A89" w:rsidR="00960E9B"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8513F3" w:rsidRPr="009D0B4B">
        <w:rPr>
          <w:b/>
          <w:bCs/>
          <w:lang w:val="it-IT"/>
        </w:rPr>
        <w:t>25</w:t>
      </w:r>
      <w:r w:rsidR="008513F3" w:rsidRPr="009D0B4B">
        <w:rPr>
          <w:lang w:val="it-IT"/>
        </w:rPr>
        <w:t xml:space="preserve"> </w:t>
      </w:r>
      <w:r w:rsidRPr="009D0B4B">
        <w:rPr>
          <w:lang w:val="it-IT"/>
        </w:rPr>
        <w:t>disciplina il meccanismo di assegnazione degli eventuali proventi derivanti dall’irrogazione delle sanzioni</w:t>
      </w:r>
      <w:r w:rsidR="00960E9B" w:rsidRPr="009D0B4B">
        <w:rPr>
          <w:lang w:val="it-IT"/>
        </w:rPr>
        <w:t>.</w:t>
      </w:r>
      <w:r w:rsidRPr="009D0B4B">
        <w:rPr>
          <w:lang w:val="it-IT"/>
        </w:rPr>
        <w:t xml:space="preserve"> </w:t>
      </w:r>
    </w:p>
    <w:p w14:paraId="762D8138" w14:textId="50BE1526" w:rsidR="00FD0961" w:rsidRPr="009D0B4B" w:rsidRDefault="00960E9B" w:rsidP="00365E22">
      <w:pPr>
        <w:pStyle w:val="Nessunaspaziatura"/>
        <w:spacing w:after="60" w:line="276" w:lineRule="auto"/>
        <w:jc w:val="both"/>
        <w:rPr>
          <w:lang w:val="it-IT"/>
        </w:rPr>
      </w:pPr>
      <w:r w:rsidRPr="009D0B4B">
        <w:rPr>
          <w:lang w:val="it-IT"/>
        </w:rPr>
        <w:t>N</w:t>
      </w:r>
      <w:r w:rsidR="008D2846" w:rsidRPr="009D0B4B">
        <w:rPr>
          <w:lang w:val="it-IT"/>
        </w:rPr>
        <w:t>el dettaglio, il</w:t>
      </w:r>
      <w:r w:rsidR="008D2846" w:rsidRPr="009D0B4B">
        <w:rPr>
          <w:b/>
          <w:lang w:val="it-IT"/>
        </w:rPr>
        <w:t xml:space="preserve"> comma 1</w:t>
      </w:r>
      <w:r w:rsidR="008D2846" w:rsidRPr="009D0B4B">
        <w:rPr>
          <w:lang w:val="it-IT"/>
        </w:rPr>
        <w:t xml:space="preserve"> stabilisce che i predetti proventi </w:t>
      </w:r>
      <w:r w:rsidR="004C3DB7">
        <w:rPr>
          <w:lang w:val="it-IT"/>
        </w:rPr>
        <w:t xml:space="preserve">delle sanzioni irrogate da ACN </w:t>
      </w:r>
      <w:r w:rsidR="008D2846" w:rsidRPr="009D0B4B">
        <w:rPr>
          <w:lang w:val="it-IT"/>
        </w:rPr>
        <w:t xml:space="preserve">siano versati al bilancio dello </w:t>
      </w:r>
      <w:r w:rsidR="00EB5BFF" w:rsidRPr="009D0B4B">
        <w:rPr>
          <w:lang w:val="it-IT"/>
        </w:rPr>
        <w:t>S</w:t>
      </w:r>
      <w:r w:rsidR="008D2846" w:rsidRPr="009D0B4B">
        <w:rPr>
          <w:lang w:val="it-IT"/>
        </w:rPr>
        <w:t>tato per essere successivamente riassegnati all’apposito capitolo dello stato di previsione della spesa del Ministero dell’economia e delle finanze, secondo quanto disposto dall’art</w:t>
      </w:r>
      <w:r w:rsidRPr="009D0B4B">
        <w:rPr>
          <w:lang w:val="it-IT"/>
        </w:rPr>
        <w:t xml:space="preserve">icolo </w:t>
      </w:r>
      <w:r w:rsidR="008D2846" w:rsidRPr="009D0B4B">
        <w:rPr>
          <w:lang w:val="it-IT"/>
        </w:rPr>
        <w:t xml:space="preserve">18 </w:t>
      </w:r>
      <w:r w:rsidRPr="009D0B4B">
        <w:rPr>
          <w:lang w:val="it-IT"/>
        </w:rPr>
        <w:t xml:space="preserve">del </w:t>
      </w:r>
      <w:r w:rsidR="008D2846" w:rsidRPr="009D0B4B">
        <w:rPr>
          <w:lang w:val="it-IT"/>
        </w:rPr>
        <w:t>d</w:t>
      </w:r>
      <w:r w:rsidR="00EB5BFF" w:rsidRPr="009D0B4B">
        <w:rPr>
          <w:lang w:val="it-IT"/>
        </w:rPr>
        <w:t>ecreto legge</w:t>
      </w:r>
      <w:r w:rsidR="008D2846" w:rsidRPr="009D0B4B">
        <w:rPr>
          <w:lang w:val="it-IT"/>
        </w:rPr>
        <w:t xml:space="preserve"> </w:t>
      </w:r>
      <w:r w:rsidRPr="009D0B4B">
        <w:rPr>
          <w:lang w:val="it-IT"/>
        </w:rPr>
        <w:t xml:space="preserve">n. </w:t>
      </w:r>
      <w:r w:rsidR="008D2846" w:rsidRPr="009D0B4B">
        <w:rPr>
          <w:lang w:val="it-IT"/>
        </w:rPr>
        <w:t xml:space="preserve">82/2021. </w:t>
      </w:r>
    </w:p>
    <w:p w14:paraId="5D3E0990" w14:textId="2B8D2BB5" w:rsidR="00FD0961" w:rsidRPr="009D0B4B" w:rsidRDefault="00FD0961" w:rsidP="00365E22">
      <w:pPr>
        <w:pStyle w:val="Nessunaspaziatura"/>
        <w:spacing w:after="60" w:line="276" w:lineRule="auto"/>
        <w:jc w:val="both"/>
        <w:rPr>
          <w:lang w:val="it-IT"/>
        </w:rPr>
      </w:pPr>
      <w:r w:rsidRPr="009D0B4B">
        <w:rPr>
          <w:lang w:val="it-IT"/>
        </w:rPr>
        <w:t>Il medesimo comma prevede, altresì, che le risorse così introitate siano destinate</w:t>
      </w:r>
      <w:r w:rsidR="008A107E">
        <w:rPr>
          <w:lang w:val="it-IT"/>
        </w:rPr>
        <w:t>,</w:t>
      </w:r>
      <w:r w:rsidR="00BF1E49" w:rsidRPr="008A107E">
        <w:rPr>
          <w:b/>
          <w:bCs/>
          <w:lang w:val="it-IT"/>
        </w:rPr>
        <w:t xml:space="preserve"> </w:t>
      </w:r>
      <w:r w:rsidR="00BF1E49" w:rsidRPr="008A107E">
        <w:rPr>
          <w:lang w:val="it-IT"/>
        </w:rPr>
        <w:t>in via prioritaria, all’esercizio delle funzioni attribuite alla medesima Agenzia dalla legge IA e dal presente decreto</w:t>
      </w:r>
      <w:r w:rsidRPr="009D0B4B">
        <w:rPr>
          <w:lang w:val="it-IT"/>
        </w:rPr>
        <w:t xml:space="preserve"> </w:t>
      </w:r>
    </w:p>
    <w:p w14:paraId="05D9D1EC" w14:textId="6D2033CF" w:rsidR="008D2846" w:rsidRPr="009D0B4B" w:rsidRDefault="00FD0961" w:rsidP="00365E22">
      <w:pPr>
        <w:pStyle w:val="Nessunaspaziatura"/>
        <w:spacing w:after="60" w:line="276" w:lineRule="auto"/>
        <w:jc w:val="both"/>
        <w:rPr>
          <w:lang w:val="it-IT"/>
        </w:rPr>
      </w:pPr>
      <w:r w:rsidRPr="009D0B4B">
        <w:rPr>
          <w:lang w:val="it-IT"/>
        </w:rPr>
        <w:t xml:space="preserve">Il comma appena </w:t>
      </w:r>
      <w:r w:rsidR="00511FE0" w:rsidRPr="009D0B4B">
        <w:rPr>
          <w:lang w:val="it-IT"/>
        </w:rPr>
        <w:t xml:space="preserve">illustrato </w:t>
      </w:r>
      <w:r w:rsidR="008D2846" w:rsidRPr="009D0B4B">
        <w:rPr>
          <w:lang w:val="it-IT"/>
        </w:rPr>
        <w:t xml:space="preserve">non ha effetti sui saldi di bilancio. Infatti, gli eventuali proventi oggetto di riassegnazione alla spesa rappresentano una nuova voce di entrata del bilancio dello Stato, non essendovi fino ad oggi somme versate per la medesima causale. </w:t>
      </w:r>
    </w:p>
    <w:p w14:paraId="1485FAD5" w14:textId="46E64392" w:rsidR="006E1A25" w:rsidRPr="009D0B4B" w:rsidRDefault="006E1A25" w:rsidP="00365E22">
      <w:pPr>
        <w:spacing w:after="60" w:line="276" w:lineRule="auto"/>
        <w:jc w:val="both"/>
        <w:rPr>
          <w:lang w:val="it-IT"/>
        </w:rPr>
      </w:pPr>
      <w:r w:rsidRPr="009D0B4B">
        <w:rPr>
          <w:b/>
          <w:bCs/>
          <w:lang w:val="it-IT"/>
        </w:rPr>
        <w:lastRenderedPageBreak/>
        <w:t>Il c</w:t>
      </w:r>
      <w:r w:rsidR="008D2846" w:rsidRPr="009D0B4B">
        <w:rPr>
          <w:b/>
          <w:bCs/>
          <w:lang w:val="it-IT"/>
        </w:rPr>
        <w:t>omma 2</w:t>
      </w:r>
      <w:r w:rsidRPr="009D0B4B">
        <w:rPr>
          <w:b/>
          <w:bCs/>
          <w:lang w:val="it-IT"/>
        </w:rPr>
        <w:t xml:space="preserve"> </w:t>
      </w:r>
      <w:r w:rsidRPr="009D0B4B">
        <w:rPr>
          <w:lang w:val="it-IT"/>
        </w:rPr>
        <w:t>disciplina il regime di destinazione dei proventi derivanti dalle sanzioni amministrative pecuniarie irrogate dall’AgID, in attuazione delle disposizioni del presente decreto.</w:t>
      </w:r>
    </w:p>
    <w:p w14:paraId="72F47EDD" w14:textId="401E20E4" w:rsidR="006E1A25" w:rsidRPr="009D0B4B" w:rsidRDefault="006E1A25" w:rsidP="00365E22">
      <w:pPr>
        <w:spacing w:after="60" w:line="276" w:lineRule="auto"/>
        <w:jc w:val="both"/>
        <w:rPr>
          <w:lang w:val="it-IT"/>
        </w:rPr>
      </w:pPr>
      <w:r w:rsidRPr="009D0B4B">
        <w:rPr>
          <w:lang w:val="it-IT"/>
        </w:rPr>
        <w:t>Si prevede</w:t>
      </w:r>
      <w:r w:rsidR="00DB0CF7" w:rsidRPr="009D0B4B">
        <w:rPr>
          <w:lang w:val="it-IT"/>
        </w:rPr>
        <w:t xml:space="preserve"> </w:t>
      </w:r>
      <w:r w:rsidRPr="009D0B4B">
        <w:rPr>
          <w:lang w:val="it-IT"/>
        </w:rPr>
        <w:t>che tali proventi siano versati ad apposito capitolo dell’entrata del bilancio dello Stato e successivamente riassegnati, con decreto del Ministro dell’Economia e delle Finanze, allo stato di previsione della spesa del medesimo Ministero, per essere destinati, per l’intero ammontare, al bilancio dell’AgID.</w:t>
      </w:r>
    </w:p>
    <w:p w14:paraId="28B3E96A" w14:textId="77777777" w:rsidR="006E1A25" w:rsidRPr="009D0B4B" w:rsidRDefault="006E1A25" w:rsidP="00365E22">
      <w:pPr>
        <w:spacing w:after="60" w:line="276" w:lineRule="auto"/>
        <w:jc w:val="both"/>
        <w:rPr>
          <w:lang w:val="it-IT"/>
        </w:rPr>
      </w:pPr>
      <w:r w:rsidRPr="009D0B4B">
        <w:rPr>
          <w:lang w:val="it-IT"/>
        </w:rPr>
        <w:t>La disposizione è finalizzata ad assicurare che le risorse, derivanti dall’esercizio del potere sanzionatorio, siano utilizzate per il finanziamento delle attività istituzionali dell’Agenzia connesse all’esercizio delle funzioni attribuite dal presente decreto.</w:t>
      </w:r>
    </w:p>
    <w:p w14:paraId="190E609A" w14:textId="77777777" w:rsidR="006E1A25" w:rsidRPr="009D0B4B" w:rsidRDefault="006E1A25" w:rsidP="00365E22">
      <w:pPr>
        <w:spacing w:after="60" w:line="276" w:lineRule="auto"/>
        <w:jc w:val="both"/>
        <w:rPr>
          <w:lang w:val="it-IT"/>
        </w:rPr>
      </w:pPr>
      <w:r w:rsidRPr="009D0B4B">
        <w:rPr>
          <w:lang w:val="it-IT"/>
        </w:rPr>
        <w:t xml:space="preserve">L’assegnazione delle somme al bilancio dell’AgID si giustifica in ragione dell’ampliamento e della crescente complessità delle funzioni attribuite all’Agenzia in materia di intelligenza artificiale, a fronte di una struttura organizzativa caratterizzata da persistenti carenze di organico. </w:t>
      </w:r>
    </w:p>
    <w:p w14:paraId="579CA64C" w14:textId="77777777" w:rsidR="006E1A25" w:rsidRPr="009D0B4B" w:rsidRDefault="006E1A25" w:rsidP="00365E22">
      <w:pPr>
        <w:spacing w:after="60" w:line="276" w:lineRule="auto"/>
        <w:jc w:val="both"/>
        <w:rPr>
          <w:lang w:val="it-IT"/>
        </w:rPr>
      </w:pPr>
      <w:r w:rsidRPr="009D0B4B">
        <w:rPr>
          <w:lang w:val="it-IT"/>
        </w:rPr>
        <w:t>Tale previsione consente, pertanto, di rafforzare la capacità operativa dell’Ente, assicurando un adeguato supporto allo svolgimento delle nuove attività, senza gravare sulla finanza pubblica.</w:t>
      </w:r>
    </w:p>
    <w:p w14:paraId="2FA48DD9" w14:textId="77777777" w:rsidR="006E1A25" w:rsidRPr="009D0B4B" w:rsidRDefault="006E1A25" w:rsidP="00365E22">
      <w:pPr>
        <w:spacing w:after="60" w:line="276" w:lineRule="auto"/>
        <w:jc w:val="both"/>
        <w:rPr>
          <w:lang w:val="it-IT"/>
        </w:rPr>
      </w:pPr>
      <w:r w:rsidRPr="009D0B4B">
        <w:rPr>
          <w:lang w:val="it-IT"/>
        </w:rPr>
        <w:t>In tale ottica, è prevista la destinazione in via prioritaria di queste risorse allo svolgimento delle attività previste dal decreto, al fine di rafforzare l’efficacia complessiva del sistema di governance e vigilanza in materia di intelligenza artificiale.</w:t>
      </w:r>
    </w:p>
    <w:p w14:paraId="23A5CCA9" w14:textId="4C9AE593" w:rsidR="0031562E" w:rsidRPr="009D0B4B" w:rsidRDefault="006E1A25" w:rsidP="00365E22">
      <w:pPr>
        <w:spacing w:after="60" w:line="276" w:lineRule="auto"/>
        <w:jc w:val="both"/>
        <w:rPr>
          <w:lang w:val="it-IT"/>
        </w:rPr>
      </w:pPr>
      <w:r w:rsidRPr="009D0B4B">
        <w:rPr>
          <w:lang w:val="it-IT"/>
        </w:rPr>
        <w:t>Ciò premesso, si rappresenta che la disposizione ha natura finanziaria e contabile e non comporta nuovi o maggiori oneri a carico della finanza pubblica, in quanto si limita a disciplinare la destinazione di eventuali entrate.</w:t>
      </w:r>
      <w:r w:rsidR="008D2846" w:rsidRPr="009D0B4B">
        <w:rPr>
          <w:lang w:val="it-IT"/>
        </w:rPr>
        <w:t xml:space="preserve"> </w:t>
      </w:r>
    </w:p>
    <w:p w14:paraId="72524715" w14:textId="46C2E440" w:rsidR="008D2846" w:rsidRPr="009D0B4B" w:rsidRDefault="008513F3" w:rsidP="00365E22">
      <w:pPr>
        <w:pStyle w:val="Nessunaspaziatura"/>
        <w:spacing w:after="60" w:line="276" w:lineRule="auto"/>
        <w:jc w:val="both"/>
        <w:rPr>
          <w:b/>
          <w:bCs/>
          <w:lang w:val="it-IT"/>
        </w:rPr>
      </w:pPr>
      <w:r w:rsidRPr="009D0B4B">
        <w:rPr>
          <w:lang w:val="it-IT"/>
        </w:rPr>
        <w:t>Infine il</w:t>
      </w:r>
      <w:r w:rsidR="00511FE0" w:rsidRPr="009D0B4B">
        <w:rPr>
          <w:b/>
          <w:bCs/>
          <w:lang w:val="it-IT"/>
        </w:rPr>
        <w:t xml:space="preserve"> c</w:t>
      </w:r>
      <w:r w:rsidR="008D2846" w:rsidRPr="009D0B4B">
        <w:rPr>
          <w:b/>
          <w:bCs/>
          <w:lang w:val="it-IT"/>
        </w:rPr>
        <w:t xml:space="preserve">omma 3 </w:t>
      </w:r>
      <w:r w:rsidR="00511FE0" w:rsidRPr="009D0B4B">
        <w:rPr>
          <w:color w:val="000000" w:themeColor="text1"/>
          <w:lang w:val="it-IT"/>
        </w:rPr>
        <w:t>rinvia, per quanto riguarda la destinazione dei proventi delle sanzioni irrogate dalle Autorità di Vigilanza del settore finanziario, a quanto previsto dalle rispettive normative di settore.</w:t>
      </w:r>
    </w:p>
    <w:p w14:paraId="2DF2EDF1" w14:textId="77777777" w:rsidR="00A53D53" w:rsidRPr="009D0B4B" w:rsidRDefault="00A53D53" w:rsidP="00365E22">
      <w:pPr>
        <w:pStyle w:val="Nessunaspaziatura"/>
        <w:spacing w:after="60" w:line="276" w:lineRule="auto"/>
        <w:jc w:val="both"/>
        <w:rPr>
          <w:b/>
          <w:bCs/>
          <w:highlight w:val="yellow"/>
          <w:lang w:val="it-IT"/>
        </w:rPr>
      </w:pPr>
    </w:p>
    <w:p w14:paraId="4E22BD6C" w14:textId="6C556512" w:rsidR="008D2846" w:rsidRPr="00387862" w:rsidRDefault="00365E22" w:rsidP="00365E22">
      <w:pPr>
        <w:pStyle w:val="Nessunaspaziatura"/>
        <w:spacing w:after="60" w:line="276" w:lineRule="auto"/>
        <w:jc w:val="both"/>
        <w:rPr>
          <w:b/>
          <w:bCs/>
          <w:lang w:val="it-IT"/>
        </w:rPr>
      </w:pPr>
      <w:r w:rsidRPr="004A54DE">
        <w:rPr>
          <w:rStyle w:val="Nessuno"/>
          <w:b/>
          <w:bCs/>
          <w:color w:val="000000" w:themeColor="text1"/>
        </w:rPr>
        <w:t xml:space="preserve">Sezione </w:t>
      </w:r>
      <w:r w:rsidR="008D2846" w:rsidRPr="00387862">
        <w:rPr>
          <w:b/>
          <w:bCs/>
          <w:lang w:val="it-IT"/>
        </w:rPr>
        <w:t>VI</w:t>
      </w:r>
      <w:r w:rsidR="00A53D53" w:rsidRPr="00387862">
        <w:rPr>
          <w:b/>
          <w:bCs/>
          <w:lang w:val="it-IT"/>
        </w:rPr>
        <w:t xml:space="preserve"> –</w:t>
      </w:r>
      <w:r w:rsidR="008D2846" w:rsidRPr="00387862">
        <w:rPr>
          <w:b/>
          <w:bCs/>
          <w:lang w:val="it-IT"/>
        </w:rPr>
        <w:t xml:space="preserve"> Spazi di sperimentazione </w:t>
      </w:r>
      <w:r w:rsidR="0031562E" w:rsidRPr="00387862">
        <w:rPr>
          <w:b/>
          <w:bCs/>
          <w:lang w:val="it-IT"/>
        </w:rPr>
        <w:t>normativ</w:t>
      </w:r>
      <w:r w:rsidR="00C305C5" w:rsidRPr="00387862">
        <w:rPr>
          <w:b/>
          <w:bCs/>
          <w:lang w:val="it-IT"/>
        </w:rPr>
        <w:t>a</w:t>
      </w:r>
      <w:r w:rsidR="0031562E" w:rsidRPr="00387862">
        <w:rPr>
          <w:b/>
          <w:bCs/>
          <w:lang w:val="it-IT"/>
        </w:rPr>
        <w:t xml:space="preserve"> </w:t>
      </w:r>
    </w:p>
    <w:p w14:paraId="1CCB22F5" w14:textId="358956C0" w:rsidR="00B6765E" w:rsidRPr="00365E22" w:rsidRDefault="008D2846" w:rsidP="00365E22">
      <w:pPr>
        <w:spacing w:after="60" w:line="276" w:lineRule="auto"/>
        <w:jc w:val="both"/>
        <w:rPr>
          <w:lang w:val="it-IT"/>
        </w:rPr>
      </w:pPr>
      <w:r w:rsidRPr="008A107E">
        <w:rPr>
          <w:lang w:val="it-IT"/>
        </w:rPr>
        <w:t>L’</w:t>
      </w:r>
      <w:r w:rsidRPr="008A107E">
        <w:rPr>
          <w:b/>
          <w:bCs/>
          <w:lang w:val="it-IT"/>
        </w:rPr>
        <w:t xml:space="preserve">articolo </w:t>
      </w:r>
      <w:r w:rsidR="008513F3" w:rsidRPr="008A107E">
        <w:rPr>
          <w:b/>
          <w:bCs/>
          <w:lang w:val="it-IT"/>
        </w:rPr>
        <w:t>26</w:t>
      </w:r>
      <w:r w:rsidR="008513F3" w:rsidRPr="008A107E">
        <w:rPr>
          <w:lang w:val="it-IT"/>
        </w:rPr>
        <w:t xml:space="preserve"> </w:t>
      </w:r>
      <w:r w:rsidRPr="008A107E">
        <w:rPr>
          <w:lang w:val="it-IT"/>
        </w:rPr>
        <w:t>istituisce</w:t>
      </w:r>
      <w:r w:rsidR="00BF1E49" w:rsidRPr="008A107E">
        <w:rPr>
          <w:lang w:val="it-IT"/>
        </w:rPr>
        <w:t xml:space="preserve"> e disciplina, ai commi 1, 2 e 3,</w:t>
      </w:r>
      <w:r w:rsidRPr="008A107E">
        <w:rPr>
          <w:lang w:val="it-IT"/>
        </w:rPr>
        <w:t xml:space="preserve"> lo spazio di sperimentazione normativa nazionale per l’intelligenza artificiale, denominato </w:t>
      </w:r>
      <w:r w:rsidR="00DB0CF7" w:rsidRPr="008A107E">
        <w:rPr>
          <w:i/>
          <w:iCs/>
          <w:lang w:val="it-IT"/>
        </w:rPr>
        <w:t>“Spazio di sperimentazione italiano per l’IA”</w:t>
      </w:r>
      <w:r w:rsidRPr="008A107E">
        <w:rPr>
          <w:lang w:val="it-IT"/>
        </w:rPr>
        <w:t xml:space="preserve">, individuando nell’ACN e </w:t>
      </w:r>
      <w:proofErr w:type="spellStart"/>
      <w:r w:rsidRPr="008A107E">
        <w:rPr>
          <w:lang w:val="it-IT"/>
        </w:rPr>
        <w:t>nell’Agid</w:t>
      </w:r>
      <w:proofErr w:type="spellEnd"/>
      <w:r w:rsidRPr="008A107E">
        <w:rPr>
          <w:lang w:val="it-IT"/>
        </w:rPr>
        <w:t xml:space="preserve"> le autorità responsabili della gestione dell’attività secondo le rispettive competenze.</w:t>
      </w:r>
      <w:r w:rsidR="00EF5EC0" w:rsidRPr="008A107E">
        <w:rPr>
          <w:rFonts w:asciiTheme="majorHAnsi" w:eastAsiaTheme="majorEastAsia" w:hAnsiTheme="majorHAnsi" w:cstheme="majorHAnsi"/>
          <w:color w:val="000000" w:themeColor="text1"/>
          <w:sz w:val="22"/>
          <w:szCs w:val="22"/>
          <w:lang w:val="it-IT"/>
        </w:rPr>
        <w:t xml:space="preserve"> </w:t>
      </w:r>
      <w:r w:rsidR="00EF5EC0" w:rsidRPr="008A107E">
        <w:rPr>
          <w:lang w:val="it-IT"/>
        </w:rPr>
        <w:t>Le attività previste sono svolte dalle amministrazioni competenti nell’ambito delle risorse umane, strumentali e finanziarie disponibili a legislazione vigente. I</w:t>
      </w:r>
      <w:r w:rsidR="00E064EF">
        <w:rPr>
          <w:lang w:val="it-IT"/>
        </w:rPr>
        <w:t>n particolare, i</w:t>
      </w:r>
      <w:r w:rsidR="00EF5EC0" w:rsidRPr="008A107E">
        <w:rPr>
          <w:lang w:val="it-IT"/>
        </w:rPr>
        <w:t xml:space="preserve">l </w:t>
      </w:r>
      <w:r w:rsidR="00EF5EC0" w:rsidRPr="00365E22">
        <w:rPr>
          <w:b/>
          <w:bCs/>
          <w:lang w:val="it-IT"/>
        </w:rPr>
        <w:t>comma 2</w:t>
      </w:r>
      <w:r w:rsidR="00EF5EC0" w:rsidRPr="00365E22">
        <w:rPr>
          <w:lang w:val="it-IT"/>
        </w:rPr>
        <w:t xml:space="preserve"> reca la previsione relativa all’ambiente controllato per la sperimentazione</w:t>
      </w:r>
      <w:r w:rsidR="00B6765E" w:rsidRPr="00365E22">
        <w:rPr>
          <w:lang w:val="it-IT"/>
        </w:rPr>
        <w:t xml:space="preserve">, le cui modalità di accesso, gestione e di funzionamento sono stabilite con decreto adottato in forma congiunta dai Direttori generali </w:t>
      </w:r>
      <w:proofErr w:type="spellStart"/>
      <w:r w:rsidR="00B6765E" w:rsidRPr="00365E22">
        <w:rPr>
          <w:lang w:val="it-IT"/>
        </w:rPr>
        <w:t>dell’AgId</w:t>
      </w:r>
      <w:proofErr w:type="spellEnd"/>
      <w:r w:rsidR="00B6765E" w:rsidRPr="00365E22">
        <w:rPr>
          <w:lang w:val="it-IT"/>
        </w:rPr>
        <w:t xml:space="preserve"> e dell’ACN, in relazione alle rispettive competenze, così come definite dal presente decreto e con il coordinamento del Comitato di coordinamento.</w:t>
      </w:r>
    </w:p>
    <w:p w14:paraId="1BA0FA6D" w14:textId="535AA227" w:rsidR="00DB0CF7" w:rsidRPr="008A107E" w:rsidRDefault="00B6765E" w:rsidP="00365E22">
      <w:pPr>
        <w:spacing w:after="60" w:line="276" w:lineRule="auto"/>
        <w:jc w:val="both"/>
        <w:rPr>
          <w:lang w:val="it-IT"/>
        </w:rPr>
      </w:pPr>
      <w:r w:rsidRPr="00365E22">
        <w:rPr>
          <w:lang w:val="it-IT"/>
        </w:rPr>
        <w:t>Tali disposizioni</w:t>
      </w:r>
      <w:r w:rsidR="00EF5EC0" w:rsidRPr="00365E22">
        <w:rPr>
          <w:lang w:val="it-IT"/>
        </w:rPr>
        <w:t xml:space="preserve"> non comporta</w:t>
      </w:r>
      <w:r w:rsidRPr="00365E22">
        <w:rPr>
          <w:lang w:val="it-IT"/>
        </w:rPr>
        <w:t>no</w:t>
      </w:r>
      <w:r w:rsidR="00EF5EC0" w:rsidRPr="00365E22">
        <w:rPr>
          <w:lang w:val="it-IT"/>
        </w:rPr>
        <w:t xml:space="preserve"> nuovi o maggiori oneri</w:t>
      </w:r>
      <w:r w:rsidRPr="00365E22">
        <w:rPr>
          <w:lang w:val="it-IT"/>
        </w:rPr>
        <w:t xml:space="preserve">, </w:t>
      </w:r>
      <w:r w:rsidR="00EF5EC0" w:rsidRPr="00365E22">
        <w:rPr>
          <w:lang w:val="it-IT"/>
        </w:rPr>
        <w:t>avendo carattere ordinamentale.</w:t>
      </w:r>
      <w:r w:rsidR="008D2846" w:rsidRPr="008A107E">
        <w:rPr>
          <w:lang w:val="it-IT"/>
        </w:rPr>
        <w:t xml:space="preserve"> </w:t>
      </w:r>
    </w:p>
    <w:p w14:paraId="14CE4A82" w14:textId="77777777" w:rsidR="0031562E" w:rsidRPr="009D0B4B" w:rsidRDefault="0031562E" w:rsidP="00365E22">
      <w:pPr>
        <w:pStyle w:val="Nessunaspaziatura"/>
        <w:spacing w:after="60" w:line="276" w:lineRule="auto"/>
        <w:jc w:val="both"/>
        <w:rPr>
          <w:b/>
          <w:bCs/>
          <w:highlight w:val="yellow"/>
          <w:lang w:val="it-IT"/>
        </w:rPr>
      </w:pPr>
    </w:p>
    <w:p w14:paraId="48BF1936" w14:textId="5D83392E" w:rsidR="00BD2E04" w:rsidRPr="00AF254E" w:rsidRDefault="008D2846" w:rsidP="00365E22">
      <w:pPr>
        <w:pStyle w:val="Nessunaspaziatura"/>
        <w:spacing w:after="60" w:line="276" w:lineRule="auto"/>
        <w:jc w:val="both"/>
        <w:rPr>
          <w:lang w:val="it-IT"/>
        </w:rPr>
      </w:pPr>
      <w:r w:rsidRPr="00AF254E">
        <w:rPr>
          <w:lang w:val="it-IT"/>
        </w:rPr>
        <w:t>L’</w:t>
      </w:r>
      <w:r w:rsidRPr="00AF254E">
        <w:rPr>
          <w:b/>
          <w:bCs/>
          <w:lang w:val="it-IT"/>
        </w:rPr>
        <w:t xml:space="preserve">articolo </w:t>
      </w:r>
      <w:r w:rsidR="00193CFA" w:rsidRPr="00AF254E">
        <w:rPr>
          <w:b/>
          <w:bCs/>
          <w:lang w:val="it-IT"/>
        </w:rPr>
        <w:t>27</w:t>
      </w:r>
      <w:r w:rsidR="00193CFA" w:rsidRPr="00AF254E">
        <w:rPr>
          <w:lang w:val="it-IT"/>
        </w:rPr>
        <w:t xml:space="preserve"> </w:t>
      </w:r>
      <w:r w:rsidRPr="00AF254E">
        <w:rPr>
          <w:lang w:val="it-IT"/>
        </w:rPr>
        <w:t>stabilisce</w:t>
      </w:r>
      <w:r w:rsidR="00BD2E04" w:rsidRPr="00AF254E">
        <w:rPr>
          <w:lang w:val="it-IT"/>
        </w:rPr>
        <w:t xml:space="preserve"> che la gestione strategica e gli indirizzi generali dello Spazio di sperimentazione italiano per l’IA sono definiti nell’ambito del Comitato di coordinamento, anche a seguito di consultazione, da parte delle stesse Autorità nazionali per l’intelligenza artificiale, con i portatori di interesse. Il </w:t>
      </w:r>
      <w:r w:rsidR="00BD2E04" w:rsidRPr="00AF254E">
        <w:rPr>
          <w:b/>
          <w:bCs/>
          <w:lang w:val="it-IT"/>
        </w:rPr>
        <w:t>comma 2</w:t>
      </w:r>
      <w:r w:rsidRPr="00AF254E">
        <w:rPr>
          <w:lang w:val="it-IT"/>
        </w:rPr>
        <w:t xml:space="preserve"> </w:t>
      </w:r>
      <w:r w:rsidR="00BD2E04" w:rsidRPr="00AF254E">
        <w:rPr>
          <w:lang w:val="it-IT"/>
        </w:rPr>
        <w:t>rimette al suindicato Comitato l’individuazione delle priorità di sperimentazione e la definizione dell’ordine di selezione dei fornitori e dei potenziali fornitori.</w:t>
      </w:r>
    </w:p>
    <w:p w14:paraId="4DF8CD4F" w14:textId="6F737886" w:rsidR="00BD2E04" w:rsidRPr="00AF254E" w:rsidRDefault="00BD2E04" w:rsidP="00365E22">
      <w:pPr>
        <w:pStyle w:val="Nessunaspaziatura"/>
        <w:spacing w:after="60" w:line="276" w:lineRule="auto"/>
        <w:jc w:val="both"/>
        <w:rPr>
          <w:lang w:val="it-IT"/>
        </w:rPr>
      </w:pPr>
      <w:r w:rsidRPr="00AF254E">
        <w:rPr>
          <w:lang w:val="it-IT"/>
        </w:rPr>
        <w:t xml:space="preserve">Il successivo </w:t>
      </w:r>
      <w:r w:rsidRPr="00AF254E">
        <w:rPr>
          <w:b/>
          <w:bCs/>
          <w:lang w:val="it-IT"/>
        </w:rPr>
        <w:t>comma 3</w:t>
      </w:r>
      <w:r w:rsidRPr="00AF254E">
        <w:rPr>
          <w:lang w:val="it-IT"/>
        </w:rPr>
        <w:t xml:space="preserve"> stabilisce, infine, che per lo svolgimento delle attività relative agli spazi di sperimentazione normativa</w:t>
      </w:r>
      <w:r w:rsidR="001964A4" w:rsidRPr="00AF254E">
        <w:rPr>
          <w:lang w:val="it-IT"/>
        </w:rPr>
        <w:t>, ivi incluse la preparazione delle riunioni, il Comitato di coordinamento si avvale del Gruppo operativo di cui al successivo articolo 28.</w:t>
      </w:r>
    </w:p>
    <w:p w14:paraId="171E05DB" w14:textId="77777777" w:rsidR="0031562E" w:rsidRPr="009D0B4B" w:rsidRDefault="0031562E" w:rsidP="00365E22">
      <w:pPr>
        <w:pStyle w:val="Nessunaspaziatura"/>
        <w:spacing w:after="60" w:line="276" w:lineRule="auto"/>
        <w:jc w:val="both"/>
        <w:rPr>
          <w:b/>
          <w:bCs/>
          <w:highlight w:val="yellow"/>
          <w:lang w:val="it-IT"/>
        </w:rPr>
      </w:pPr>
    </w:p>
    <w:p w14:paraId="68AF09FD" w14:textId="77777777" w:rsidR="00B6765E" w:rsidRPr="00B6765E" w:rsidRDefault="008D2846" w:rsidP="00365E22">
      <w:pPr>
        <w:pStyle w:val="Nessunaspaziatura"/>
        <w:spacing w:after="60" w:line="276" w:lineRule="auto"/>
        <w:jc w:val="both"/>
        <w:rPr>
          <w:lang w:val="it-IT"/>
        </w:rPr>
      </w:pPr>
      <w:r w:rsidRPr="00B6765E">
        <w:rPr>
          <w:lang w:val="it-IT"/>
        </w:rPr>
        <w:t>L’</w:t>
      </w:r>
      <w:r w:rsidRPr="00B6765E">
        <w:rPr>
          <w:b/>
          <w:bCs/>
          <w:lang w:val="it-IT"/>
        </w:rPr>
        <w:t xml:space="preserve">articolo </w:t>
      </w:r>
      <w:r w:rsidR="00193CFA" w:rsidRPr="00B6765E">
        <w:rPr>
          <w:b/>
          <w:bCs/>
          <w:lang w:val="it-IT"/>
        </w:rPr>
        <w:t>28</w:t>
      </w:r>
      <w:r w:rsidR="00193CFA" w:rsidRPr="00B6765E">
        <w:rPr>
          <w:lang w:val="it-IT"/>
        </w:rPr>
        <w:t xml:space="preserve"> </w:t>
      </w:r>
      <w:r w:rsidR="001964A4" w:rsidRPr="00B6765E">
        <w:rPr>
          <w:lang w:val="it-IT"/>
        </w:rPr>
        <w:t xml:space="preserve"> disciplina la gestione operativa e l’attuazione tecnica dello Spazio di sperimentazione italiano per l’IA, disponendo che, per l’attuazione di quanto previsto dai precedenti articoli 26 e 27 del presente decreto, </w:t>
      </w:r>
      <w:proofErr w:type="spellStart"/>
      <w:r w:rsidR="001964A4" w:rsidRPr="00B6765E">
        <w:rPr>
          <w:lang w:val="it-IT"/>
        </w:rPr>
        <w:t>l’AgiD</w:t>
      </w:r>
      <w:proofErr w:type="spellEnd"/>
      <w:r w:rsidR="001964A4" w:rsidRPr="00B6765E">
        <w:rPr>
          <w:lang w:val="it-IT"/>
        </w:rPr>
        <w:t xml:space="preserve"> e l’ACN costituiscono, mediante decreto adottato congiuntamente dai propri Direttori generali, un Gruppo operativo. Si prevede che tale Gruppo sia pariteticamente composto</w:t>
      </w:r>
      <w:r w:rsidR="00B6765E" w:rsidRPr="00B6765E">
        <w:rPr>
          <w:lang w:val="it-IT"/>
        </w:rPr>
        <w:t>.</w:t>
      </w:r>
    </w:p>
    <w:p w14:paraId="5883C420" w14:textId="56B4946D" w:rsidR="001964A4" w:rsidRPr="00B6765E" w:rsidRDefault="001964A4" w:rsidP="00365E22">
      <w:pPr>
        <w:pStyle w:val="Nessunaspaziatura"/>
        <w:spacing w:after="60" w:line="276" w:lineRule="auto"/>
        <w:jc w:val="both"/>
        <w:rPr>
          <w:rFonts w:eastAsia="Aptos"/>
          <w:color w:val="000000"/>
          <w:kern w:val="2"/>
          <w:bdr w:val="none" w:sz="0" w:space="0" w:color="auto"/>
          <w:lang w:val="it-IT"/>
          <w14:ligatures w14:val="standardContextual"/>
        </w:rPr>
      </w:pPr>
      <w:r w:rsidRPr="00B6765E">
        <w:rPr>
          <w:lang w:val="it-IT"/>
        </w:rPr>
        <w:t xml:space="preserve">Il </w:t>
      </w:r>
      <w:r w:rsidRPr="00B6765E">
        <w:rPr>
          <w:b/>
          <w:bCs/>
          <w:lang w:val="it-IT"/>
        </w:rPr>
        <w:t xml:space="preserve">comma 2 </w:t>
      </w:r>
      <w:r w:rsidRPr="00B6765E">
        <w:rPr>
          <w:lang w:val="it-IT"/>
        </w:rPr>
        <w:t xml:space="preserve">stabilisce che </w:t>
      </w:r>
      <w:r w:rsidR="006F60D5" w:rsidRPr="00B6765E">
        <w:rPr>
          <w:rFonts w:eastAsia="Aptos"/>
          <w:color w:val="000000"/>
          <w:kern w:val="2"/>
          <w:bdr w:val="none" w:sz="0" w:space="0" w:color="auto"/>
          <w:lang w:val="it-IT"/>
          <w14:ligatures w14:val="standardContextual"/>
        </w:rPr>
        <w:t>alle riunioni del Gruppo operativo possono partecipare i rappresentanti delle altre Amministrazioni competenti per materia, in relazione ai progetti ammessi nello Spazio di sperimentazione italiano per l’IA. Dispone, altresì, che il Gruppo operativo possa coinvolgere, nell’ambito di singoli progetti, una o più Università o centri di ricerca, anche su iniziativa di questi ultimi, in relazione a specifiche esigenze di valutazione tecnica o di accertamento di aree di rischio specifiche.</w:t>
      </w:r>
    </w:p>
    <w:p w14:paraId="424F96A4" w14:textId="140AFA73" w:rsidR="006F60D5" w:rsidRPr="00B6765E" w:rsidRDefault="006F60D5" w:rsidP="00365E22">
      <w:pPr>
        <w:pStyle w:val="Nessunaspaziatura"/>
        <w:spacing w:after="60" w:line="276" w:lineRule="auto"/>
        <w:jc w:val="both"/>
        <w:rPr>
          <w:rFonts w:eastAsia="Aptos"/>
          <w:color w:val="000000"/>
          <w:kern w:val="2"/>
          <w:bdr w:val="none" w:sz="0" w:space="0" w:color="auto"/>
          <w:lang w:val="it-IT"/>
          <w14:ligatures w14:val="standardContextual"/>
        </w:rPr>
      </w:pPr>
      <w:r w:rsidRPr="00B6765E">
        <w:rPr>
          <w:rFonts w:eastAsia="Aptos"/>
          <w:color w:val="000000"/>
          <w:kern w:val="2"/>
          <w:bdr w:val="none" w:sz="0" w:space="0" w:color="auto"/>
          <w:lang w:val="it-IT"/>
          <w14:ligatures w14:val="standardContextual"/>
        </w:rPr>
        <w:t xml:space="preserve">Il </w:t>
      </w:r>
      <w:r w:rsidRPr="00B6765E">
        <w:rPr>
          <w:rFonts w:eastAsia="Aptos"/>
          <w:b/>
          <w:bCs/>
          <w:color w:val="000000"/>
          <w:kern w:val="2"/>
          <w:bdr w:val="none" w:sz="0" w:space="0" w:color="auto"/>
          <w:lang w:val="it-IT"/>
          <w14:ligatures w14:val="standardContextual"/>
        </w:rPr>
        <w:t>comma 3</w:t>
      </w:r>
      <w:r w:rsidRPr="00B6765E">
        <w:rPr>
          <w:rFonts w:eastAsia="Aptos"/>
          <w:color w:val="000000"/>
          <w:kern w:val="2"/>
          <w:bdr w:val="none" w:sz="0" w:space="0" w:color="auto"/>
          <w:lang w:val="it-IT"/>
          <w14:ligatures w14:val="standardContextual"/>
        </w:rPr>
        <w:t xml:space="preserve"> specifica che ai componenti del suindicato Gruppo non spettano compensi, gettoni di presenza, rimborsi di spese o altri emolumenti comunque denominati, mentre il </w:t>
      </w:r>
      <w:r w:rsidRPr="00B6765E">
        <w:rPr>
          <w:rFonts w:eastAsia="Aptos"/>
          <w:b/>
          <w:bCs/>
          <w:color w:val="000000"/>
          <w:kern w:val="2"/>
          <w:bdr w:val="none" w:sz="0" w:space="0" w:color="auto"/>
          <w:lang w:val="it-IT"/>
          <w14:ligatures w14:val="standardContextual"/>
        </w:rPr>
        <w:t>comma 4</w:t>
      </w:r>
      <w:r w:rsidRPr="00B6765E">
        <w:rPr>
          <w:rFonts w:eastAsia="Aptos"/>
          <w:color w:val="000000"/>
          <w:kern w:val="2"/>
          <w:bdr w:val="none" w:sz="0" w:space="0" w:color="auto"/>
          <w:lang w:val="it-IT"/>
          <w14:ligatures w14:val="standardContextual"/>
        </w:rPr>
        <w:t xml:space="preserve"> individua </w:t>
      </w:r>
      <w:r w:rsidRPr="00B6765E">
        <w:rPr>
          <w:rFonts w:eastAsia="Aptos"/>
          <w:b/>
          <w:bCs/>
          <w:color w:val="000000"/>
          <w:kern w:val="2"/>
          <w:bdr w:val="none" w:sz="0" w:space="0" w:color="auto"/>
          <w:lang w:val="it-IT"/>
          <w14:ligatures w14:val="standardContextual"/>
        </w:rPr>
        <w:t xml:space="preserve"> </w:t>
      </w:r>
      <w:r w:rsidRPr="00B6765E">
        <w:rPr>
          <w:rFonts w:eastAsia="Aptos"/>
          <w:color w:val="000000"/>
          <w:kern w:val="2"/>
          <w:bdr w:val="none" w:sz="0" w:space="0" w:color="auto"/>
          <w:lang w:val="it-IT"/>
          <w14:ligatures w14:val="standardContextual"/>
        </w:rPr>
        <w:t>le</w:t>
      </w:r>
      <w:r w:rsidRPr="00B6765E">
        <w:rPr>
          <w:rFonts w:eastAsia="Aptos"/>
          <w:b/>
          <w:bCs/>
          <w:color w:val="000000"/>
          <w:kern w:val="2"/>
          <w:bdr w:val="none" w:sz="0" w:space="0" w:color="auto"/>
          <w:lang w:val="it-IT"/>
          <w14:ligatures w14:val="standardContextual"/>
        </w:rPr>
        <w:t xml:space="preserve"> </w:t>
      </w:r>
      <w:r w:rsidRPr="00B6765E">
        <w:rPr>
          <w:rFonts w:eastAsia="Aptos"/>
          <w:color w:val="000000"/>
          <w:kern w:val="2"/>
          <w:bdr w:val="none" w:sz="0" w:space="0" w:color="auto"/>
          <w:lang w:val="it-IT"/>
          <w14:ligatures w14:val="standardContextual"/>
        </w:rPr>
        <w:t>attività in capo al Gruppo operativo (necessarie al pieno funzionamento dello Spazio di sperimentazione italiano per l’IA).</w:t>
      </w:r>
    </w:p>
    <w:p w14:paraId="1134F3D8" w14:textId="7986A260" w:rsidR="006F60D5" w:rsidRPr="00B6765E" w:rsidRDefault="006F60D5" w:rsidP="00365E22">
      <w:pPr>
        <w:pStyle w:val="Nessunaspaziatura"/>
        <w:spacing w:after="60" w:line="276" w:lineRule="auto"/>
        <w:jc w:val="both"/>
        <w:rPr>
          <w:lang w:val="it-IT"/>
        </w:rPr>
      </w:pPr>
      <w:r w:rsidRPr="00B6765E">
        <w:rPr>
          <w:rFonts w:eastAsia="Aptos"/>
          <w:color w:val="000000"/>
          <w:kern w:val="2"/>
          <w:bdr w:val="none" w:sz="0" w:space="0" w:color="auto"/>
          <w:lang w:val="it-IT"/>
          <w14:ligatures w14:val="standardContextual"/>
        </w:rPr>
        <w:t xml:space="preserve">Il </w:t>
      </w:r>
      <w:r w:rsidRPr="00B6765E">
        <w:rPr>
          <w:rFonts w:eastAsia="Aptos"/>
          <w:b/>
          <w:bCs/>
          <w:color w:val="000000"/>
          <w:kern w:val="2"/>
          <w:bdr w:val="none" w:sz="0" w:space="0" w:color="auto"/>
          <w:lang w:val="it-IT"/>
          <w14:ligatures w14:val="standardContextual"/>
        </w:rPr>
        <w:t xml:space="preserve">comma 5 </w:t>
      </w:r>
      <w:r w:rsidRPr="00B6765E">
        <w:rPr>
          <w:rFonts w:eastAsia="Aptos"/>
          <w:color w:val="000000"/>
          <w:kern w:val="2"/>
          <w:bdr w:val="none" w:sz="0" w:space="0" w:color="auto"/>
          <w:lang w:val="it-IT"/>
          <w14:ligatures w14:val="standardContextual"/>
        </w:rPr>
        <w:t>demanda ad</w:t>
      </w:r>
      <w:r w:rsidR="00214141" w:rsidRPr="00B6765E">
        <w:rPr>
          <w:lang w:val="it-IT"/>
        </w:rPr>
        <w:t xml:space="preserve"> </w:t>
      </w:r>
      <w:r w:rsidRPr="00B6765E">
        <w:rPr>
          <w:lang w:val="it-IT"/>
        </w:rPr>
        <w:t>uno o più decreti, adottati congiuntamente dai Direttori Generali di AgID e ACN, la definizione della composizione, del funzionamento e delle modalità operative del Gruppo operativo ogni altro aspetto tecnico e di raccordo, anche ai fini dell’attuazione dell’art. 57 del regolamento IA riguardante la gestione dello Spazio di sperimentazione italiano per l’IA</w:t>
      </w:r>
      <w:r w:rsidR="00214141" w:rsidRPr="00B6765E">
        <w:rPr>
          <w:lang w:val="it-IT"/>
        </w:rPr>
        <w:t>, nonché la definizione e l’identificazione</w:t>
      </w:r>
      <w:r w:rsidRPr="00B6765E">
        <w:rPr>
          <w:lang w:val="it-IT"/>
        </w:rPr>
        <w:t xml:space="preserve"> </w:t>
      </w:r>
      <w:r w:rsidR="00214141" w:rsidRPr="00B6765E">
        <w:rPr>
          <w:lang w:val="it-IT"/>
        </w:rPr>
        <w:t xml:space="preserve">dei </w:t>
      </w:r>
      <w:r w:rsidRPr="00B6765E">
        <w:rPr>
          <w:lang w:val="it-IT"/>
        </w:rPr>
        <w:t xml:space="preserve">servizi forniti e </w:t>
      </w:r>
      <w:r w:rsidR="00214141" w:rsidRPr="00B6765E">
        <w:rPr>
          <w:lang w:val="it-IT"/>
        </w:rPr>
        <w:t>del</w:t>
      </w:r>
      <w:r w:rsidRPr="00B6765E">
        <w:rPr>
          <w:lang w:val="it-IT"/>
        </w:rPr>
        <w:t>le rispettive modalità di erogazione, ivi inclusa l’individuazione e la valutazione dei criteri di eleggibilità di cui all’articolo 26, comma 3</w:t>
      </w:r>
      <w:r w:rsidR="00214141" w:rsidRPr="00B6765E">
        <w:rPr>
          <w:lang w:val="it-IT"/>
        </w:rPr>
        <w:t xml:space="preserve"> del presente decreto</w:t>
      </w:r>
      <w:r w:rsidRPr="00B6765E">
        <w:rPr>
          <w:lang w:val="it-IT"/>
        </w:rPr>
        <w:t>, in coerenza con gli atti di esecuzione adottati ai sensi dell’art. 58 del regolamento IA.</w:t>
      </w:r>
    </w:p>
    <w:p w14:paraId="1D288336" w14:textId="18E69D74" w:rsidR="006F60D5" w:rsidRPr="00B6765E" w:rsidRDefault="00214141" w:rsidP="00365E22">
      <w:pPr>
        <w:pStyle w:val="Nessunaspaziatura"/>
        <w:spacing w:after="60" w:line="276" w:lineRule="auto"/>
        <w:jc w:val="both"/>
        <w:rPr>
          <w:rFonts w:eastAsia="Aptos"/>
          <w:color w:val="000000"/>
          <w:kern w:val="2"/>
          <w:bdr w:val="none" w:sz="0" w:space="0" w:color="auto"/>
          <w:lang w:val="it-IT"/>
          <w14:ligatures w14:val="standardContextual"/>
        </w:rPr>
      </w:pPr>
      <w:r w:rsidRPr="00B6765E">
        <w:rPr>
          <w:lang w:val="it-IT"/>
        </w:rPr>
        <w:t xml:space="preserve">Il </w:t>
      </w:r>
      <w:r w:rsidRPr="00B6765E">
        <w:rPr>
          <w:b/>
          <w:bCs/>
          <w:lang w:val="it-IT"/>
        </w:rPr>
        <w:t>comma 6</w:t>
      </w:r>
      <w:r w:rsidRPr="00B6765E">
        <w:rPr>
          <w:lang w:val="it-IT"/>
        </w:rPr>
        <w:t xml:space="preserve"> indica che l</w:t>
      </w:r>
      <w:r w:rsidRPr="00B6765E">
        <w:rPr>
          <w:rFonts w:eastAsia="Aptos"/>
          <w:color w:val="000000"/>
          <w:kern w:val="2"/>
          <w:bdr w:val="none" w:sz="0" w:space="0" w:color="auto"/>
          <w:lang w:val="it-IT"/>
          <w14:ligatures w14:val="standardContextual"/>
        </w:rPr>
        <w:t>e Autorità nazionali per l’intelligenza artificiale rispettano la riservatezza delle informazioni e dei dati ottenuti nello svolgimento dei compiti connessi allo Spazio di sperimentazione italiano per l’IA, in conformità all’articolo 78 del regolamento IA.</w:t>
      </w:r>
    </w:p>
    <w:p w14:paraId="2FE64D37" w14:textId="0F5BF264" w:rsidR="00214141" w:rsidRPr="00B6765E" w:rsidRDefault="00214141" w:rsidP="00365E22">
      <w:pPr>
        <w:pStyle w:val="Nessunaspaziatura"/>
        <w:spacing w:after="60" w:line="276" w:lineRule="auto"/>
        <w:jc w:val="both"/>
        <w:rPr>
          <w:rFonts w:eastAsia="Aptos"/>
          <w:color w:val="000000"/>
          <w:kern w:val="2"/>
          <w:bdr w:val="none" w:sz="0" w:space="0" w:color="auto"/>
          <w:lang w:val="it-IT"/>
          <w14:ligatures w14:val="standardContextual"/>
        </w:rPr>
      </w:pPr>
      <w:r w:rsidRPr="00B6765E">
        <w:rPr>
          <w:rFonts w:eastAsia="Aptos"/>
          <w:color w:val="000000"/>
          <w:kern w:val="2"/>
          <w:bdr w:val="none" w:sz="0" w:space="0" w:color="auto"/>
          <w:lang w:val="it-IT"/>
          <w14:ligatures w14:val="standardContextual"/>
        </w:rPr>
        <w:t xml:space="preserve">Il </w:t>
      </w:r>
      <w:r w:rsidRPr="00B6765E">
        <w:rPr>
          <w:rFonts w:eastAsia="Aptos"/>
          <w:b/>
          <w:bCs/>
          <w:color w:val="000000"/>
          <w:kern w:val="2"/>
          <w:bdr w:val="none" w:sz="0" w:space="0" w:color="auto"/>
          <w:lang w:val="it-IT"/>
          <w14:ligatures w14:val="standardContextual"/>
        </w:rPr>
        <w:t>comma 7</w:t>
      </w:r>
      <w:r w:rsidRPr="00B6765E">
        <w:rPr>
          <w:rFonts w:eastAsia="Aptos"/>
          <w:color w:val="000000"/>
          <w:kern w:val="2"/>
          <w:bdr w:val="none" w:sz="0" w:space="0" w:color="auto"/>
          <w:lang w:val="it-IT"/>
          <w14:ligatures w14:val="standardContextual"/>
        </w:rPr>
        <w:t xml:space="preserve"> stabilisce, infine, che il Ministero dell’università e della ricerca contribuisce nella definizione dei requisiti tecnici, scientifici e metodologici dei progetti di sperimentazione di propria competenza e che il Consiglio nazionale delle ricerche (CNR) può svolgere attività di supporto tecnico, scientifico, di validazione metodologica, di analisi dei rischi e di verifiche tecniche indipendenti secondo quanto previsto da appositi protocolli operativi congiunti.</w:t>
      </w:r>
    </w:p>
    <w:p w14:paraId="194DEF4E" w14:textId="77777777" w:rsidR="008D2846" w:rsidRPr="00B6765E" w:rsidRDefault="008D2846" w:rsidP="00365E22">
      <w:pPr>
        <w:pStyle w:val="Nessunaspaziatura"/>
        <w:spacing w:after="60" w:line="276" w:lineRule="auto"/>
        <w:jc w:val="both"/>
        <w:rPr>
          <w:lang w:val="it-IT"/>
        </w:rPr>
      </w:pPr>
      <w:r w:rsidRPr="00B6765E">
        <w:rPr>
          <w:lang w:val="it-IT"/>
        </w:rPr>
        <w:t>Le disposizioni in analisi hanno carattere ordinamentale limitandosi ad individuare le modalità di gestione operativa dell’istituendo spazio di sperimentazione normativa per l’IA.</w:t>
      </w:r>
    </w:p>
    <w:p w14:paraId="0693784E" w14:textId="77777777" w:rsidR="0031562E" w:rsidRPr="00B6765E" w:rsidRDefault="0031562E" w:rsidP="00365E22">
      <w:pPr>
        <w:pStyle w:val="Nessunaspaziatura"/>
        <w:spacing w:after="60" w:line="276" w:lineRule="auto"/>
        <w:jc w:val="both"/>
        <w:rPr>
          <w:b/>
          <w:bCs/>
          <w:lang w:val="it-IT"/>
        </w:rPr>
      </w:pPr>
    </w:p>
    <w:p w14:paraId="36F33EE7" w14:textId="74F50402" w:rsidR="008D2846" w:rsidRPr="00B6765E" w:rsidRDefault="008D2846" w:rsidP="00365E22">
      <w:pPr>
        <w:pStyle w:val="Nessunaspaziatura"/>
        <w:spacing w:after="60" w:line="276" w:lineRule="auto"/>
        <w:jc w:val="both"/>
        <w:rPr>
          <w:lang w:val="it-IT"/>
        </w:rPr>
      </w:pPr>
      <w:r w:rsidRPr="00B6765E">
        <w:rPr>
          <w:lang w:val="it-IT"/>
        </w:rPr>
        <w:t>L</w:t>
      </w:r>
      <w:r w:rsidR="0031562E" w:rsidRPr="00B6765E">
        <w:rPr>
          <w:lang w:val="it-IT"/>
        </w:rPr>
        <w:t>’</w:t>
      </w:r>
      <w:r w:rsidRPr="00B6765E">
        <w:rPr>
          <w:b/>
          <w:bCs/>
          <w:lang w:val="it-IT"/>
        </w:rPr>
        <w:t xml:space="preserve">articolo </w:t>
      </w:r>
      <w:r w:rsidR="003005CF" w:rsidRPr="00B6765E">
        <w:rPr>
          <w:b/>
          <w:bCs/>
          <w:lang w:val="it-IT"/>
        </w:rPr>
        <w:t>29</w:t>
      </w:r>
      <w:r w:rsidR="00193CFA" w:rsidRPr="00B6765E">
        <w:rPr>
          <w:lang w:val="it-IT"/>
        </w:rPr>
        <w:t xml:space="preserve"> </w:t>
      </w:r>
      <w:r w:rsidR="00EF5EC0" w:rsidRPr="00B6765E">
        <w:rPr>
          <w:lang w:val="it-IT"/>
        </w:rPr>
        <w:t xml:space="preserve">promuove e </w:t>
      </w:r>
      <w:r w:rsidRPr="00B6765E">
        <w:rPr>
          <w:lang w:val="it-IT"/>
        </w:rPr>
        <w:t xml:space="preserve">disciplina le eventuali forme di coordinamento e cooperazione istituzionale, </w:t>
      </w:r>
      <w:proofErr w:type="spellStart"/>
      <w:r w:rsidRPr="00B6765E">
        <w:rPr>
          <w:lang w:val="it-IT"/>
        </w:rPr>
        <w:t>financhè</w:t>
      </w:r>
      <w:proofErr w:type="spellEnd"/>
      <w:r w:rsidRPr="00B6765E">
        <w:rPr>
          <w:lang w:val="it-IT"/>
        </w:rPr>
        <w:t xml:space="preserve"> la promozione di accordi istituzionali transfrontalieri finalizzati alla promozione dell’innovazione.</w:t>
      </w:r>
    </w:p>
    <w:p w14:paraId="6F0D9798" w14:textId="31391474" w:rsidR="00EF5EC0" w:rsidRPr="00B6765E" w:rsidRDefault="00EF5EC0" w:rsidP="00365E22">
      <w:pPr>
        <w:pStyle w:val="Nessunaspaziatura"/>
        <w:spacing w:after="60" w:line="276" w:lineRule="auto"/>
        <w:jc w:val="both"/>
        <w:rPr>
          <w:lang w:val="it-IT"/>
        </w:rPr>
      </w:pPr>
      <w:r w:rsidRPr="00B6765E">
        <w:rPr>
          <w:lang w:val="it-IT"/>
        </w:rPr>
        <w:t>L’articolo ha natura ordinamentale in quanto tutte le attività previste sono svolte nell’ambito delle competenze esistenti e con le risorse umane, strumentali e finanziarie già disponibili a legislazione vigente, garantendo pertanto la piena invarianza finanziaria.</w:t>
      </w:r>
    </w:p>
    <w:p w14:paraId="2434DF90" w14:textId="77777777" w:rsidR="0031562E" w:rsidRPr="00B6765E" w:rsidRDefault="0031562E" w:rsidP="00365E22">
      <w:pPr>
        <w:pStyle w:val="Nessunaspaziatura"/>
        <w:spacing w:after="60" w:line="276" w:lineRule="auto"/>
        <w:jc w:val="both"/>
        <w:rPr>
          <w:b/>
          <w:bCs/>
          <w:lang w:val="it-IT"/>
        </w:rPr>
      </w:pPr>
    </w:p>
    <w:p w14:paraId="1274A92C" w14:textId="6F469676" w:rsidR="00D572E3" w:rsidRPr="00B6765E" w:rsidRDefault="008D2846" w:rsidP="00365E22">
      <w:pPr>
        <w:pStyle w:val="Nessunaspaziatura"/>
        <w:spacing w:after="60" w:line="276" w:lineRule="auto"/>
        <w:jc w:val="both"/>
        <w:rPr>
          <w:lang w:val="it-IT"/>
        </w:rPr>
      </w:pPr>
      <w:r w:rsidRPr="00B6765E">
        <w:rPr>
          <w:lang w:val="it-IT"/>
        </w:rPr>
        <w:t>L’</w:t>
      </w:r>
      <w:r w:rsidRPr="00B6765E">
        <w:rPr>
          <w:b/>
          <w:bCs/>
          <w:lang w:val="it-IT"/>
        </w:rPr>
        <w:t xml:space="preserve">articolo </w:t>
      </w:r>
      <w:r w:rsidR="00193CFA" w:rsidRPr="00B6765E">
        <w:rPr>
          <w:b/>
          <w:bCs/>
          <w:lang w:val="it-IT"/>
        </w:rPr>
        <w:t>3</w:t>
      </w:r>
      <w:r w:rsidR="002C00FB" w:rsidRPr="00B6765E">
        <w:rPr>
          <w:b/>
          <w:bCs/>
          <w:lang w:val="it-IT"/>
        </w:rPr>
        <w:t>0</w:t>
      </w:r>
      <w:r w:rsidR="00193CFA" w:rsidRPr="00B6765E">
        <w:rPr>
          <w:lang w:val="it-IT"/>
        </w:rPr>
        <w:t xml:space="preserve"> consente</w:t>
      </w:r>
      <w:r w:rsidRPr="00B6765E">
        <w:rPr>
          <w:lang w:val="it-IT"/>
        </w:rPr>
        <w:t xml:space="preserve"> l’istituzione di ulteriori spazi di sperimentazione normativa, rinviando a</w:t>
      </w:r>
      <w:r w:rsidRPr="00B6765E">
        <w:rPr>
          <w:b/>
          <w:bCs/>
          <w:lang w:val="it-IT"/>
        </w:rPr>
        <w:t xml:space="preserve"> </w:t>
      </w:r>
      <w:r w:rsidRPr="00B6765E">
        <w:rPr>
          <w:lang w:val="it-IT"/>
        </w:rPr>
        <w:t xml:space="preserve"> successivi decreti del presidente del Consiglio dei ministri per la definizione delle modalità di </w:t>
      </w:r>
      <w:r w:rsidRPr="00B6765E">
        <w:rPr>
          <w:lang w:val="it-IT"/>
        </w:rPr>
        <w:lastRenderedPageBreak/>
        <w:t xml:space="preserve">gestione, funzionamento, attuazione tecnica </w:t>
      </w:r>
      <w:proofErr w:type="spellStart"/>
      <w:r w:rsidRPr="00B6765E">
        <w:rPr>
          <w:lang w:val="it-IT"/>
        </w:rPr>
        <w:t>nonchè</w:t>
      </w:r>
      <w:proofErr w:type="spellEnd"/>
      <w:r w:rsidRPr="00B6765E">
        <w:rPr>
          <w:lang w:val="it-IT"/>
        </w:rPr>
        <w:t xml:space="preserve"> l’individuazione dei progetti e programmi ammessi</w:t>
      </w:r>
      <w:r w:rsidR="00D572E3" w:rsidRPr="00B6765E">
        <w:rPr>
          <w:rFonts w:asciiTheme="majorHAnsi" w:hAnsiTheme="majorHAnsi" w:cstheme="majorHAnsi"/>
          <w:sz w:val="22"/>
          <w:szCs w:val="22"/>
          <w:lang w:val="it-IT"/>
        </w:rPr>
        <w:t xml:space="preserve"> </w:t>
      </w:r>
      <w:r w:rsidR="00D572E3" w:rsidRPr="00B6765E">
        <w:rPr>
          <w:lang w:val="it-IT"/>
        </w:rPr>
        <w:t>, e non comporta effetti finanziari diretti.</w:t>
      </w:r>
    </w:p>
    <w:p w14:paraId="0163DDB5" w14:textId="208AC2F8" w:rsidR="008D2846" w:rsidRPr="00112952" w:rsidRDefault="00D572E3" w:rsidP="00365E22">
      <w:pPr>
        <w:pStyle w:val="Nessunaspaziatura"/>
        <w:spacing w:after="60" w:line="276" w:lineRule="auto"/>
        <w:jc w:val="both"/>
        <w:rPr>
          <w:lang w:val="it-IT"/>
        </w:rPr>
      </w:pPr>
      <w:r w:rsidRPr="00B6765E">
        <w:rPr>
          <w:lang w:val="it-IT"/>
        </w:rPr>
        <w:t xml:space="preserve">Analogamente, le eventuali iniziative a livello regionale o locale o in cooperazione con altri Stati </w:t>
      </w:r>
      <w:r w:rsidRPr="00112952">
        <w:rPr>
          <w:lang w:val="it-IT"/>
        </w:rPr>
        <w:t>membri sono attuate senza nuovi o maggiori oneri per la finanza pubblica.</w:t>
      </w:r>
    </w:p>
    <w:p w14:paraId="4391E90F" w14:textId="107230F9" w:rsidR="00112952" w:rsidRPr="00112952" w:rsidRDefault="00112952" w:rsidP="00365E22">
      <w:pPr>
        <w:pStyle w:val="Nessunaspaziatura"/>
        <w:spacing w:after="60" w:line="276" w:lineRule="auto"/>
        <w:jc w:val="both"/>
        <w:rPr>
          <w:lang w:val="it-IT"/>
        </w:rPr>
      </w:pPr>
      <w:r w:rsidRPr="00112952">
        <w:rPr>
          <w:lang w:val="it-IT"/>
        </w:rPr>
        <w:t xml:space="preserve">Il </w:t>
      </w:r>
      <w:r w:rsidRPr="00112952">
        <w:rPr>
          <w:b/>
          <w:bCs/>
          <w:lang w:val="it-IT"/>
        </w:rPr>
        <w:t>comma 4</w:t>
      </w:r>
      <w:r w:rsidRPr="00112952">
        <w:rPr>
          <w:lang w:val="it-IT"/>
        </w:rPr>
        <w:t xml:space="preserve"> della disposizione </w:t>
      </w:r>
      <w:r w:rsidRPr="00112952">
        <w:rPr>
          <w:color w:val="000000" w:themeColor="text1"/>
          <w:lang w:val="it-IT"/>
        </w:rPr>
        <w:t xml:space="preserve">ha lo scopo di chiarire, con riferimento ai sistemi di intelligenza artificiale destinati ad essere immessi sul mercato, messi in servizio o usati da istituti finanziari, il rapporto tra lo Spazio di sperimentazione italiano per l’IA di cui all’articolo 26 del decreto e la sperimentazione </w:t>
      </w:r>
      <w:proofErr w:type="spellStart"/>
      <w:r w:rsidRPr="00112952">
        <w:rPr>
          <w:color w:val="000000" w:themeColor="text1"/>
          <w:lang w:val="it-IT"/>
        </w:rPr>
        <w:t>FinTech</w:t>
      </w:r>
      <w:proofErr w:type="spellEnd"/>
      <w:r w:rsidRPr="00112952">
        <w:rPr>
          <w:color w:val="000000" w:themeColor="text1"/>
          <w:lang w:val="it-IT"/>
        </w:rPr>
        <w:t xml:space="preserve"> prevista dall’articolo 36, commi 2-</w:t>
      </w:r>
      <w:r w:rsidRPr="00112952">
        <w:rPr>
          <w:i/>
          <w:iCs/>
          <w:color w:val="000000" w:themeColor="text1"/>
          <w:lang w:val="it-IT"/>
        </w:rPr>
        <w:t xml:space="preserve">bis </w:t>
      </w:r>
      <w:r w:rsidRPr="00112952">
        <w:rPr>
          <w:color w:val="000000" w:themeColor="text1"/>
          <w:lang w:val="it-IT"/>
        </w:rPr>
        <w:t xml:space="preserve">e ss. del decreto legge 30 aprile 2019 n. 34. In questo caso, il comma 4 chiarisce che la sperimentazione di tali sistemi di IA può avvenire, a seconda della natura e della finalità della stessa, sia all’interno dello Spazio di sperimentazione italiano per l’IA sia della sandbox finanziaria. In particolare, rispetto ad un sistema di IA innovativo destinato al settore finanziario, l’istituto finanziario potrà ricorrere anche allo Spazio di sperimentazione italiano per l’IA al fine di </w:t>
      </w:r>
      <w:r w:rsidRPr="00112952">
        <w:rPr>
          <w:rFonts w:eastAsiaTheme="majorEastAsia"/>
          <w:lang w:val="it-IT"/>
        </w:rPr>
        <w:t>facilitare lo sviluppo, l’addestramento, la sperimentazione e la convalida di tali sistemi rispetto ai requisiti del regolamento IA. In tali casi, alle riunioni del Gruppo operativo parteciperanno anche le Autorità del settore finanziario per i profili di competenza.</w:t>
      </w:r>
      <w:r w:rsidRPr="00112952">
        <w:rPr>
          <w:color w:val="000000" w:themeColor="text1"/>
          <w:lang w:val="it-IT"/>
        </w:rPr>
        <w:t xml:space="preserve"> In ogni caso, per garantire una risposta uniforme rispetto ai sistemi di IA innovativi destinati al settore finanziario, saranno definite opportune modalità di coordinamento e cooperazione tra le due forme di sperimentazione all’interno del decreto del Presidente del Consiglio dei Ministri di cui al </w:t>
      </w:r>
      <w:r w:rsidRPr="00112952">
        <w:rPr>
          <w:b/>
          <w:bCs/>
          <w:color w:val="000000" w:themeColor="text1"/>
          <w:lang w:val="it-IT"/>
        </w:rPr>
        <w:t>comma 5</w:t>
      </w:r>
      <w:r w:rsidRPr="00112952">
        <w:rPr>
          <w:color w:val="000000" w:themeColor="text1"/>
          <w:lang w:val="it-IT"/>
        </w:rPr>
        <w:t xml:space="preserve">; tale comma rinvia, infatti, </w:t>
      </w:r>
      <w:r w:rsidRPr="00112952">
        <w:rPr>
          <w:lang w:val="it-IT"/>
        </w:rPr>
        <w:t xml:space="preserve">ad un decreto del Presidente del Consiglio dei Ministri, su proposta delle Autorità nazionali per l’intelligenza artificiale, d’intesa con le autorità del settore finanziario e sentito il Ministero dell’economia e delle finanze, per definire le modalità di collaborazione e di coordinamento tra lo Spazio di sperimentazione italiano per l’IA e la sperimentazione </w:t>
      </w:r>
      <w:proofErr w:type="spellStart"/>
      <w:r w:rsidRPr="00112952">
        <w:rPr>
          <w:lang w:val="it-IT"/>
        </w:rPr>
        <w:t>FinTech</w:t>
      </w:r>
      <w:proofErr w:type="spellEnd"/>
      <w:r w:rsidRPr="00112952">
        <w:rPr>
          <w:lang w:val="it-IT"/>
        </w:rPr>
        <w:t>.</w:t>
      </w:r>
    </w:p>
    <w:p w14:paraId="4FA6BFDC" w14:textId="77777777" w:rsidR="00112952" w:rsidRPr="00112952" w:rsidRDefault="00112952" w:rsidP="00365E22">
      <w:pPr>
        <w:pStyle w:val="Nessunaspaziatura"/>
        <w:spacing w:after="60" w:line="276" w:lineRule="auto"/>
        <w:jc w:val="both"/>
        <w:rPr>
          <w:lang w:val="it-IT"/>
        </w:rPr>
      </w:pPr>
      <w:r w:rsidRPr="00112952">
        <w:rPr>
          <w:lang w:val="it-IT"/>
        </w:rPr>
        <w:t>Avuto riguardo ai profili di impatto sulla finanza pubblica, si segnala che il comma in questione, assolvendo ad una finalità di mero chiarimento dell’ambito di applicazione dei due spazi di sperimentazione normativa, non comporta nuovi o maggiori oneri per il bilancio dello Stato.</w:t>
      </w:r>
    </w:p>
    <w:p w14:paraId="77B5D3E1" w14:textId="77777777" w:rsidR="003005CF" w:rsidRPr="00112952" w:rsidRDefault="003005CF" w:rsidP="00365E22">
      <w:pPr>
        <w:pStyle w:val="Nessunaspaziatura"/>
        <w:spacing w:after="60" w:line="276" w:lineRule="auto"/>
        <w:jc w:val="both"/>
        <w:rPr>
          <w:lang w:val="it-IT"/>
        </w:rPr>
      </w:pPr>
    </w:p>
    <w:p w14:paraId="0636E52F" w14:textId="4914A0D5" w:rsidR="00B6765E" w:rsidRPr="00112952" w:rsidRDefault="003005CF" w:rsidP="00365E22">
      <w:pPr>
        <w:pStyle w:val="paragraph"/>
        <w:spacing w:before="0" w:beforeAutospacing="0" w:after="60" w:afterAutospacing="0" w:line="276" w:lineRule="auto"/>
        <w:jc w:val="both"/>
        <w:textAlignment w:val="baseline"/>
        <w:rPr>
          <w:rStyle w:val="normaltextrun"/>
          <w:rFonts w:eastAsiaTheme="majorEastAsia"/>
          <w:color w:val="000000" w:themeColor="text1"/>
        </w:rPr>
      </w:pPr>
      <w:r w:rsidRPr="00112952">
        <w:t>L’</w:t>
      </w:r>
      <w:r w:rsidRPr="00112952">
        <w:rPr>
          <w:b/>
          <w:bCs/>
        </w:rPr>
        <w:t>articolo 31</w:t>
      </w:r>
      <w:r w:rsidRPr="00112952">
        <w:t xml:space="preserve"> </w:t>
      </w:r>
      <w:bookmarkStart w:id="0" w:name="_Hlk231557397"/>
      <w:r w:rsidRPr="00112952">
        <w:rPr>
          <w:rStyle w:val="normaltextrun"/>
          <w:rFonts w:eastAsiaTheme="majorEastAsia"/>
          <w:color w:val="000000" w:themeColor="text1"/>
        </w:rPr>
        <w:t>disciplina gli adempimenti legati agli esiti della sperimentazione normativa per l’IA.</w:t>
      </w:r>
      <w:r w:rsidR="00B6765E" w:rsidRPr="00112952">
        <w:rPr>
          <w:rStyle w:val="normaltextrun"/>
          <w:rFonts w:eastAsiaTheme="majorEastAsia"/>
          <w:color w:val="000000" w:themeColor="text1"/>
        </w:rPr>
        <w:t xml:space="preserve"> </w:t>
      </w:r>
      <w:r w:rsidR="00784422" w:rsidRPr="00112952">
        <w:rPr>
          <w:rStyle w:val="normaltextrun"/>
          <w:rFonts w:eastAsiaTheme="majorEastAsia"/>
          <w:color w:val="000000" w:themeColor="text1"/>
        </w:rPr>
        <w:t xml:space="preserve">Al riguardo, esso prevede che </w:t>
      </w:r>
      <w:r w:rsidR="00B6765E" w:rsidRPr="00112952">
        <w:rPr>
          <w:rStyle w:val="normaltextrun"/>
          <w:rFonts w:eastAsiaTheme="majorEastAsia"/>
          <w:color w:val="000000" w:themeColor="text1"/>
        </w:rPr>
        <w:t>le autorità nazionali competenti present</w:t>
      </w:r>
      <w:r w:rsidR="00784422" w:rsidRPr="00112952">
        <w:rPr>
          <w:rStyle w:val="normaltextrun"/>
          <w:rFonts w:eastAsiaTheme="majorEastAsia"/>
          <w:color w:val="000000" w:themeColor="text1"/>
        </w:rPr>
        <w:t>i</w:t>
      </w:r>
      <w:r w:rsidR="00B6765E" w:rsidRPr="00112952">
        <w:rPr>
          <w:rStyle w:val="normaltextrun"/>
          <w:rFonts w:eastAsiaTheme="majorEastAsia"/>
          <w:color w:val="000000" w:themeColor="text1"/>
        </w:rPr>
        <w:t xml:space="preserve">no </w:t>
      </w:r>
      <w:r w:rsidR="00784422" w:rsidRPr="00112952">
        <w:rPr>
          <w:rStyle w:val="normaltextrun"/>
          <w:rFonts w:eastAsiaTheme="majorEastAsia"/>
          <w:color w:val="000000" w:themeColor="text1"/>
        </w:rPr>
        <w:t xml:space="preserve">delle </w:t>
      </w:r>
      <w:r w:rsidR="00B6765E" w:rsidRPr="00112952">
        <w:rPr>
          <w:rStyle w:val="normaltextrun"/>
          <w:rFonts w:eastAsiaTheme="majorEastAsia"/>
          <w:color w:val="000000" w:themeColor="text1"/>
        </w:rPr>
        <w:t>relazioni annuali all'ufficio per l</w:t>
      </w:r>
      <w:r w:rsidR="00784422" w:rsidRPr="00112952">
        <w:rPr>
          <w:rStyle w:val="normaltextrun"/>
          <w:rFonts w:eastAsiaTheme="majorEastAsia"/>
          <w:color w:val="000000" w:themeColor="text1"/>
        </w:rPr>
        <w:t>’</w:t>
      </w:r>
      <w:r w:rsidR="00B6765E" w:rsidRPr="00112952">
        <w:rPr>
          <w:rStyle w:val="normaltextrun"/>
          <w:rFonts w:eastAsiaTheme="majorEastAsia"/>
          <w:color w:val="000000" w:themeColor="text1"/>
        </w:rPr>
        <w:t>IA</w:t>
      </w:r>
      <w:r w:rsidR="00784422" w:rsidRPr="00112952">
        <w:rPr>
          <w:rStyle w:val="normaltextrun"/>
          <w:rFonts w:eastAsiaTheme="majorEastAsia"/>
          <w:color w:val="000000" w:themeColor="text1"/>
        </w:rPr>
        <w:t>, ai sensi dell’articolo 57, paragrafo 16</w:t>
      </w:r>
      <w:r w:rsidR="00B6765E" w:rsidRPr="00112952">
        <w:rPr>
          <w:rStyle w:val="normaltextrun"/>
          <w:rFonts w:eastAsiaTheme="majorEastAsia"/>
          <w:color w:val="000000" w:themeColor="text1"/>
        </w:rPr>
        <w:t xml:space="preserve">. </w:t>
      </w:r>
      <w:r w:rsidR="00784422" w:rsidRPr="00112952">
        <w:rPr>
          <w:rStyle w:val="normaltextrun"/>
          <w:rFonts w:eastAsiaTheme="majorEastAsia"/>
          <w:color w:val="000000" w:themeColor="text1"/>
        </w:rPr>
        <w:t xml:space="preserve">Tali </w:t>
      </w:r>
      <w:r w:rsidR="00B6765E" w:rsidRPr="00112952">
        <w:rPr>
          <w:rStyle w:val="normaltextrun"/>
          <w:rFonts w:eastAsiaTheme="majorEastAsia"/>
          <w:color w:val="000000" w:themeColor="text1"/>
        </w:rPr>
        <w:t xml:space="preserve">relazioni sono trasmesse dalle </w:t>
      </w:r>
      <w:r w:rsidR="00784422" w:rsidRPr="00112952">
        <w:rPr>
          <w:rStyle w:val="normaltextrun"/>
          <w:rFonts w:eastAsiaTheme="majorEastAsia"/>
          <w:color w:val="000000" w:themeColor="text1"/>
        </w:rPr>
        <w:t>au</w:t>
      </w:r>
      <w:r w:rsidR="00B6765E" w:rsidRPr="00112952">
        <w:rPr>
          <w:rStyle w:val="normaltextrun"/>
          <w:rFonts w:eastAsiaTheme="majorEastAsia"/>
          <w:color w:val="000000" w:themeColor="text1"/>
        </w:rPr>
        <w:t>torità nazionali per l’intelligenza artificiale, per il tramite del Comitato di coordinamento, alla Presidenza del Consiglio dei Ministri anche al fine di valutare opportuni interventi di revisione normativa a seguito degli esiti della sperimentazione.</w:t>
      </w:r>
    </w:p>
    <w:bookmarkEnd w:id="0"/>
    <w:p w14:paraId="1DA366FF" w14:textId="6E6963B0" w:rsidR="00784422" w:rsidRPr="00784422" w:rsidRDefault="00784422" w:rsidP="00365E22">
      <w:pPr>
        <w:pStyle w:val="paragraph"/>
        <w:spacing w:before="0" w:beforeAutospacing="0" w:after="60" w:afterAutospacing="0" w:line="276" w:lineRule="auto"/>
        <w:jc w:val="both"/>
        <w:textAlignment w:val="baseline"/>
        <w:rPr>
          <w:rStyle w:val="normaltextrun"/>
          <w:rFonts w:eastAsiaTheme="majorEastAsia"/>
          <w:color w:val="000000" w:themeColor="text1"/>
        </w:rPr>
      </w:pPr>
      <w:r w:rsidRPr="00112952">
        <w:rPr>
          <w:rStyle w:val="normaltextrun"/>
          <w:rFonts w:eastAsiaTheme="majorEastAsia"/>
          <w:color w:val="000000" w:themeColor="text1"/>
        </w:rPr>
        <w:t>Tale disposizione non comporta nuovi o maggiori oneri per il bilancio dello Stato in quanto le attività richiesto sono espletate sulla base delle risorse umane, strumentali e finanziarie attualmente previste.</w:t>
      </w:r>
    </w:p>
    <w:p w14:paraId="7F0E2BF7" w14:textId="77777777" w:rsidR="00A53D53" w:rsidRPr="00784422" w:rsidRDefault="00A53D53" w:rsidP="00365E22">
      <w:pPr>
        <w:pStyle w:val="Nessunaspaziatura"/>
        <w:spacing w:after="60" w:line="276" w:lineRule="auto"/>
        <w:jc w:val="both"/>
        <w:rPr>
          <w:rStyle w:val="normaltextrun"/>
          <w:rFonts w:eastAsiaTheme="majorEastAsia"/>
          <w:color w:val="000000" w:themeColor="text1"/>
          <w:bdr w:val="none" w:sz="0" w:space="0" w:color="auto"/>
          <w:lang w:val="it-IT" w:eastAsia="it-IT"/>
        </w:rPr>
      </w:pPr>
    </w:p>
    <w:p w14:paraId="48D0E463" w14:textId="12C9CF65" w:rsidR="008D2846" w:rsidRPr="009D0B4B" w:rsidRDefault="00365E22" w:rsidP="00365E22">
      <w:pPr>
        <w:pStyle w:val="Nessunaspaziatura"/>
        <w:spacing w:after="60" w:line="276" w:lineRule="auto"/>
        <w:jc w:val="both"/>
        <w:rPr>
          <w:b/>
          <w:bCs/>
          <w:lang w:val="it-IT"/>
        </w:rPr>
      </w:pPr>
      <w:r w:rsidRPr="004A54DE">
        <w:rPr>
          <w:rStyle w:val="Nessuno"/>
          <w:b/>
          <w:bCs/>
          <w:color w:val="000000" w:themeColor="text1"/>
        </w:rPr>
        <w:t>Sezione</w:t>
      </w:r>
      <w:r w:rsidR="008D2846" w:rsidRPr="009D0B4B">
        <w:rPr>
          <w:b/>
          <w:bCs/>
          <w:lang w:val="it-IT"/>
        </w:rPr>
        <w:t xml:space="preserve"> VII</w:t>
      </w:r>
      <w:r w:rsidR="00A53D53" w:rsidRPr="009D0B4B">
        <w:rPr>
          <w:b/>
          <w:bCs/>
          <w:lang w:val="it-IT"/>
        </w:rPr>
        <w:t xml:space="preserve"> –</w:t>
      </w:r>
      <w:r w:rsidR="008D2846" w:rsidRPr="009D0B4B">
        <w:rPr>
          <w:b/>
          <w:bCs/>
          <w:lang w:val="it-IT"/>
        </w:rPr>
        <w:t xml:space="preserve"> Modifiche della normativa di settore </w:t>
      </w:r>
    </w:p>
    <w:p w14:paraId="42A1E3E8" w14:textId="5D8F9D8C" w:rsidR="00960E9B" w:rsidRPr="009D0B4B" w:rsidRDefault="008D2846" w:rsidP="00365E22">
      <w:pPr>
        <w:pStyle w:val="Nessunaspaziatura"/>
        <w:spacing w:after="60" w:line="276" w:lineRule="auto"/>
        <w:jc w:val="both"/>
        <w:rPr>
          <w:lang w:val="it-IT"/>
        </w:rPr>
      </w:pPr>
      <w:r w:rsidRPr="009D0B4B">
        <w:rPr>
          <w:lang w:val="it-IT"/>
        </w:rPr>
        <w:t>L’</w:t>
      </w:r>
      <w:r w:rsidRPr="009D0B4B">
        <w:rPr>
          <w:b/>
          <w:bCs/>
          <w:lang w:val="it-IT"/>
        </w:rPr>
        <w:t xml:space="preserve">articolo </w:t>
      </w:r>
      <w:r w:rsidR="00193CFA" w:rsidRPr="009D0B4B">
        <w:rPr>
          <w:b/>
          <w:bCs/>
          <w:lang w:val="it-IT"/>
        </w:rPr>
        <w:t>32</w:t>
      </w:r>
      <w:r w:rsidR="00193CFA" w:rsidRPr="009D0B4B">
        <w:rPr>
          <w:lang w:val="it-IT"/>
        </w:rPr>
        <w:t xml:space="preserve"> </w:t>
      </w:r>
      <w:r w:rsidRPr="009D0B4B">
        <w:rPr>
          <w:lang w:val="it-IT"/>
        </w:rPr>
        <w:t xml:space="preserve">individua le modifiche necessarie per il coordinamento del decreto </w:t>
      </w:r>
      <w:r w:rsidR="00960E9B" w:rsidRPr="009D0B4B">
        <w:rPr>
          <w:lang w:val="it-IT"/>
        </w:rPr>
        <w:t>legislativ</w:t>
      </w:r>
      <w:r w:rsidR="00803AE7" w:rsidRPr="009D0B4B">
        <w:rPr>
          <w:lang w:val="it-IT"/>
        </w:rPr>
        <w:t>o</w:t>
      </w:r>
      <w:r w:rsidR="00960E9B" w:rsidRPr="009D0B4B">
        <w:rPr>
          <w:lang w:val="it-IT"/>
        </w:rPr>
        <w:t xml:space="preserve"> delegato </w:t>
      </w:r>
      <w:r w:rsidRPr="009D0B4B">
        <w:rPr>
          <w:lang w:val="it-IT"/>
        </w:rPr>
        <w:t xml:space="preserve">con il </w:t>
      </w:r>
      <w:r w:rsidR="00CA39B5" w:rsidRPr="009D0B4B">
        <w:rPr>
          <w:lang w:val="it-IT"/>
        </w:rPr>
        <w:t>decreto-legge</w:t>
      </w:r>
      <w:r w:rsidRPr="009D0B4B">
        <w:rPr>
          <w:lang w:val="it-IT"/>
        </w:rPr>
        <w:t xml:space="preserve"> </w:t>
      </w:r>
      <w:r w:rsidR="00960E9B" w:rsidRPr="009D0B4B">
        <w:rPr>
          <w:lang w:val="it-IT"/>
        </w:rPr>
        <w:t xml:space="preserve">n. </w:t>
      </w:r>
      <w:r w:rsidRPr="009D0B4B">
        <w:rPr>
          <w:lang w:val="it-IT"/>
        </w:rPr>
        <w:t>82/2021</w:t>
      </w:r>
      <w:r w:rsidR="00960E9B" w:rsidRPr="009D0B4B">
        <w:rPr>
          <w:lang w:val="it-IT"/>
        </w:rPr>
        <w:t>.</w:t>
      </w:r>
      <w:r w:rsidRPr="009D0B4B">
        <w:rPr>
          <w:lang w:val="it-IT"/>
        </w:rPr>
        <w:t xml:space="preserve"> </w:t>
      </w:r>
    </w:p>
    <w:p w14:paraId="08FCFE28" w14:textId="7EE2EA9D" w:rsidR="00960E9B" w:rsidRPr="009D0B4B" w:rsidRDefault="00960E9B" w:rsidP="00365E22">
      <w:pPr>
        <w:pStyle w:val="Nessunaspaziatura"/>
        <w:spacing w:after="60" w:line="276" w:lineRule="auto"/>
        <w:jc w:val="both"/>
        <w:rPr>
          <w:lang w:val="it-IT"/>
        </w:rPr>
      </w:pPr>
      <w:r w:rsidRPr="009D0B4B">
        <w:rPr>
          <w:lang w:val="it-IT"/>
        </w:rPr>
        <w:t>I</w:t>
      </w:r>
      <w:r w:rsidR="008D2846" w:rsidRPr="009D0B4B">
        <w:rPr>
          <w:lang w:val="it-IT"/>
        </w:rPr>
        <w:t>n particolare, l’art</w:t>
      </w:r>
      <w:r w:rsidRPr="009D0B4B">
        <w:rPr>
          <w:lang w:val="it-IT"/>
        </w:rPr>
        <w:t>icolo</w:t>
      </w:r>
      <w:r w:rsidR="008D2846" w:rsidRPr="009D0B4B">
        <w:rPr>
          <w:lang w:val="it-IT"/>
        </w:rPr>
        <w:t xml:space="preserve"> 7</w:t>
      </w:r>
      <w:r w:rsidRPr="009D0B4B">
        <w:rPr>
          <w:lang w:val="it-IT"/>
        </w:rPr>
        <w:t>,</w:t>
      </w:r>
      <w:r w:rsidR="008D2846" w:rsidRPr="009D0B4B">
        <w:rPr>
          <w:lang w:val="it-IT"/>
        </w:rPr>
        <w:t xml:space="preserve"> comma 1</w:t>
      </w:r>
      <w:r w:rsidRPr="009D0B4B">
        <w:rPr>
          <w:lang w:val="it-IT"/>
        </w:rPr>
        <w:t>,</w:t>
      </w:r>
      <w:r w:rsidR="008D2846" w:rsidRPr="009D0B4B">
        <w:rPr>
          <w:lang w:val="it-IT"/>
        </w:rPr>
        <w:t xml:space="preserve"> viene modificato inserendo la lettera aa-bis) che riconosce all’Agenzia il ruolo di Autorità di vigilanza del mercato e punto di contatto unico ai sensi dell’articolo 70 del regolamento </w:t>
      </w:r>
      <w:r w:rsidR="008502D7" w:rsidRPr="009D0B4B">
        <w:rPr>
          <w:lang w:val="it-IT"/>
        </w:rPr>
        <w:t>IA</w:t>
      </w:r>
      <w:r w:rsidRPr="009D0B4B">
        <w:rPr>
          <w:lang w:val="it-IT"/>
        </w:rPr>
        <w:t>.</w:t>
      </w:r>
    </w:p>
    <w:p w14:paraId="10D691AB" w14:textId="18E17E2B" w:rsidR="008D2846" w:rsidRPr="009D0B4B" w:rsidRDefault="00960E9B" w:rsidP="00365E22">
      <w:pPr>
        <w:pStyle w:val="Nessunaspaziatura"/>
        <w:spacing w:after="60" w:line="276" w:lineRule="auto"/>
        <w:jc w:val="both"/>
        <w:rPr>
          <w:lang w:val="it-IT"/>
        </w:rPr>
      </w:pPr>
      <w:r w:rsidRPr="009D0B4B">
        <w:rPr>
          <w:lang w:val="it-IT"/>
        </w:rPr>
        <w:t>S</w:t>
      </w:r>
      <w:r w:rsidR="008D2846" w:rsidRPr="009D0B4B">
        <w:rPr>
          <w:lang w:val="it-IT"/>
        </w:rPr>
        <w:t>i interviene, inoltre, sull’articolo 11, comma 2, lettera f), ove le parole: «</w:t>
      </w:r>
      <w:r w:rsidR="008D2846" w:rsidRPr="009D0B4B">
        <w:rPr>
          <w:i/>
          <w:iCs/>
          <w:lang w:val="it-IT"/>
        </w:rPr>
        <w:t xml:space="preserve">ai sensi di quanto previsto dal decreto legislativo NIS, dal decreto-legge perimetro e dal decreto legislativo 1° agosto 2003, n. </w:t>
      </w:r>
      <w:r w:rsidR="008D2846" w:rsidRPr="009D0B4B">
        <w:rPr>
          <w:i/>
          <w:iCs/>
          <w:lang w:val="it-IT"/>
        </w:rPr>
        <w:lastRenderedPageBreak/>
        <w:t>259, e relative disposizioni attuative</w:t>
      </w:r>
      <w:r w:rsidR="008D2846" w:rsidRPr="009D0B4B">
        <w:rPr>
          <w:lang w:val="it-IT"/>
        </w:rPr>
        <w:t>» sono sostituite dalle seguenti: «</w:t>
      </w:r>
      <w:r w:rsidR="008D2846" w:rsidRPr="009D0B4B">
        <w:rPr>
          <w:i/>
          <w:iCs/>
          <w:lang w:val="it-IT"/>
        </w:rPr>
        <w:t>nell’esercizio delle funzioni ad essa attribuite ai sensi di legge</w:t>
      </w:r>
      <w:r w:rsidR="008D2846" w:rsidRPr="009D0B4B">
        <w:rPr>
          <w:lang w:val="it-IT"/>
        </w:rPr>
        <w:t xml:space="preserve">». </w:t>
      </w:r>
    </w:p>
    <w:p w14:paraId="129F0F96" w14:textId="0F5700EE" w:rsidR="008D2846" w:rsidRPr="009D0B4B" w:rsidRDefault="008D2846" w:rsidP="00365E22">
      <w:pPr>
        <w:pStyle w:val="Nessunaspaziatura"/>
        <w:spacing w:after="60" w:line="276" w:lineRule="auto"/>
        <w:jc w:val="both"/>
        <w:rPr>
          <w:lang w:val="it-IT"/>
        </w:rPr>
      </w:pPr>
      <w:r w:rsidRPr="009D0B4B">
        <w:rPr>
          <w:lang w:val="it-IT"/>
        </w:rPr>
        <w:t>La modifica in esame si rende necessaria in un’ottica di economia legislativa, stante l’aumento</w:t>
      </w:r>
      <w:r w:rsidR="00960E9B" w:rsidRPr="009D0B4B">
        <w:rPr>
          <w:lang w:val="it-IT"/>
        </w:rPr>
        <w:t xml:space="preserve"> </w:t>
      </w:r>
      <w:r w:rsidRPr="009D0B4B">
        <w:rPr>
          <w:lang w:val="it-IT"/>
        </w:rPr>
        <w:t>delle funzioni demandate a</w:t>
      </w:r>
      <w:r w:rsidR="00960E9B" w:rsidRPr="009D0B4B">
        <w:rPr>
          <w:lang w:val="it-IT"/>
        </w:rPr>
        <w:t>ll’</w:t>
      </w:r>
      <w:r w:rsidRPr="009D0B4B">
        <w:rPr>
          <w:lang w:val="it-IT"/>
        </w:rPr>
        <w:t>ACN, da cui deriva il relativo potere di irrogare sanzioni. Appare opportuno sostituire l’attuale formulazione, che individua puntualmente le fattispecie di sanzioni oggetto di riassegnazione</w:t>
      </w:r>
      <w:r w:rsidR="00960E9B" w:rsidRPr="009D0B4B">
        <w:rPr>
          <w:lang w:val="it-IT"/>
        </w:rPr>
        <w:t xml:space="preserve"> (segnatamente il decreto legislativo 4 settembre 2024, n. 138, il decreto-legge 21 </w:t>
      </w:r>
      <w:proofErr w:type="spellStart"/>
      <w:r w:rsidR="00960E9B" w:rsidRPr="009D0B4B">
        <w:rPr>
          <w:lang w:val="it-IT"/>
        </w:rPr>
        <w:t>setembre</w:t>
      </w:r>
      <w:proofErr w:type="spellEnd"/>
      <w:r w:rsidR="00960E9B" w:rsidRPr="009D0B4B">
        <w:rPr>
          <w:lang w:val="it-IT"/>
        </w:rPr>
        <w:t xml:space="preserve"> 2019, n. 105, convertito con modificazioni dalla legge 18 novembre 2019, n. 133, il</w:t>
      </w:r>
      <w:r w:rsidR="000D7826">
        <w:rPr>
          <w:lang w:val="it-IT"/>
        </w:rPr>
        <w:t xml:space="preserve"> </w:t>
      </w:r>
      <w:r w:rsidR="00960E9B" w:rsidRPr="009D0B4B">
        <w:rPr>
          <w:lang w:val="it-IT"/>
        </w:rPr>
        <w:t>decreto legislativo 1° agosto 2003, n. 259, nonché il decreto legislativ</w:t>
      </w:r>
      <w:r w:rsidR="008502D7" w:rsidRPr="009D0B4B">
        <w:rPr>
          <w:lang w:val="it-IT"/>
        </w:rPr>
        <w:t>o</w:t>
      </w:r>
      <w:r w:rsidR="00960E9B" w:rsidRPr="009D0B4B">
        <w:rPr>
          <w:lang w:val="it-IT"/>
        </w:rPr>
        <w:t xml:space="preserve"> 3 agosto 2022, n. 123)</w:t>
      </w:r>
      <w:r w:rsidRPr="009D0B4B">
        <w:rPr>
          <w:lang w:val="it-IT"/>
        </w:rPr>
        <w:t xml:space="preserve">, con un rinvio dinamico alle funzioni attribuite </w:t>
      </w:r>
      <w:r w:rsidR="00960E9B" w:rsidRPr="009D0B4B">
        <w:rPr>
          <w:lang w:val="it-IT"/>
        </w:rPr>
        <w:t>alla medesima Agenzia</w:t>
      </w:r>
      <w:r w:rsidRPr="009D0B4B">
        <w:rPr>
          <w:lang w:val="it-IT"/>
        </w:rPr>
        <w:t xml:space="preserve">, evitando in tal modo di intervenire sul decreto-legge istitutivo ogniqualvolta vi sia una modifica normativa del quadro sanzionatorio. </w:t>
      </w:r>
    </w:p>
    <w:p w14:paraId="7B25A563" w14:textId="77777777" w:rsidR="008D2846" w:rsidRPr="009D0B4B" w:rsidRDefault="008D2846" w:rsidP="00365E22">
      <w:pPr>
        <w:pStyle w:val="Nessunaspaziatura"/>
        <w:spacing w:after="60" w:line="276" w:lineRule="auto"/>
        <w:jc w:val="both"/>
        <w:rPr>
          <w:lang w:val="it-IT"/>
        </w:rPr>
      </w:pPr>
      <w:r w:rsidRPr="009D0B4B">
        <w:rPr>
          <w:lang w:val="it-IT"/>
        </w:rPr>
        <w:t>La modifica, quindi, non introduce nuove fattispecie di entrate riassegnabili e non ha impatto sui saldi di bilancio.</w:t>
      </w:r>
    </w:p>
    <w:p w14:paraId="48F3D797" w14:textId="77777777" w:rsidR="00DB0CF7" w:rsidRPr="009D0B4B" w:rsidRDefault="00DB0CF7" w:rsidP="00365E22">
      <w:pPr>
        <w:spacing w:after="60" w:line="276" w:lineRule="auto"/>
        <w:jc w:val="both"/>
        <w:rPr>
          <w:color w:val="000000" w:themeColor="text1"/>
          <w:lang w:val="it-IT"/>
        </w:rPr>
      </w:pPr>
    </w:p>
    <w:p w14:paraId="06997F1A" w14:textId="77777777" w:rsidR="0021084A" w:rsidRPr="0021084A" w:rsidRDefault="0021084A" w:rsidP="00365E22">
      <w:pPr>
        <w:pStyle w:val="Nessunaspaziatura"/>
        <w:spacing w:after="60" w:line="276" w:lineRule="auto"/>
        <w:jc w:val="both"/>
        <w:rPr>
          <w:color w:val="000000" w:themeColor="text1"/>
          <w:lang w:val="it-IT"/>
        </w:rPr>
      </w:pPr>
      <w:r w:rsidRPr="0021084A">
        <w:rPr>
          <w:color w:val="000000" w:themeColor="text1"/>
          <w:lang w:val="it-IT"/>
        </w:rPr>
        <w:t>L’</w:t>
      </w:r>
      <w:r w:rsidRPr="0021084A">
        <w:rPr>
          <w:b/>
          <w:bCs/>
          <w:color w:val="000000" w:themeColor="text1"/>
          <w:lang w:val="it-IT"/>
        </w:rPr>
        <w:t>articolo 33</w:t>
      </w:r>
      <w:r w:rsidRPr="0021084A">
        <w:rPr>
          <w:i/>
          <w:iCs/>
          <w:color w:val="000000" w:themeColor="text1"/>
          <w:lang w:val="it-IT"/>
        </w:rPr>
        <w:t xml:space="preserve"> </w:t>
      </w:r>
      <w:r w:rsidRPr="0021084A">
        <w:rPr>
          <w:color w:val="000000" w:themeColor="text1"/>
          <w:lang w:val="it-IT"/>
        </w:rPr>
        <w:t xml:space="preserve">reca modifiche al decreto-legge 30 aprile 2019, n. 34, e in particolare, prevede l’inclusione dell’ACN tra i membri permanenti del Comitato </w:t>
      </w:r>
      <w:proofErr w:type="spellStart"/>
      <w:r w:rsidRPr="0021084A">
        <w:rPr>
          <w:color w:val="000000" w:themeColor="text1"/>
          <w:lang w:val="it-IT"/>
        </w:rPr>
        <w:t>FinTech</w:t>
      </w:r>
      <w:proofErr w:type="spellEnd"/>
      <w:r w:rsidRPr="0021084A">
        <w:rPr>
          <w:color w:val="000000" w:themeColor="text1"/>
          <w:lang w:val="it-IT"/>
        </w:rPr>
        <w:t xml:space="preserve"> di cui all’articolo 36, comma 2-octies del citato decreto-legge. Tale modifica di coordinamento si rende necessaria atteso che il Comitato </w:t>
      </w:r>
      <w:proofErr w:type="spellStart"/>
      <w:r w:rsidRPr="0021084A">
        <w:rPr>
          <w:color w:val="000000" w:themeColor="text1"/>
          <w:lang w:val="it-IT"/>
        </w:rPr>
        <w:t>FinTech</w:t>
      </w:r>
      <w:proofErr w:type="spellEnd"/>
      <w:r w:rsidRPr="0021084A">
        <w:rPr>
          <w:color w:val="000000" w:themeColor="text1"/>
          <w:lang w:val="it-IT"/>
        </w:rPr>
        <w:t xml:space="preserve">, la cui segreteria tecnica è istituita presso il Dipartimento del Tesoro, funge da cabina di regia e </w:t>
      </w:r>
      <w:proofErr w:type="spellStart"/>
      <w:r w:rsidRPr="0021084A">
        <w:rPr>
          <w:color w:val="000000" w:themeColor="text1"/>
          <w:lang w:val="it-IT"/>
        </w:rPr>
        <w:t>da</w:t>
      </w:r>
      <w:proofErr w:type="spellEnd"/>
      <w:r w:rsidRPr="0021084A">
        <w:rPr>
          <w:color w:val="000000" w:themeColor="text1"/>
          <w:lang w:val="it-IT"/>
        </w:rPr>
        <w:t xml:space="preserve"> spazio di coordinamento delle attività di sperimentazione svolte nell’ambito della sperimentazione </w:t>
      </w:r>
      <w:proofErr w:type="spellStart"/>
      <w:r w:rsidRPr="0021084A">
        <w:rPr>
          <w:color w:val="000000" w:themeColor="text1"/>
          <w:lang w:val="it-IT"/>
        </w:rPr>
        <w:t>FinTech</w:t>
      </w:r>
      <w:proofErr w:type="spellEnd"/>
      <w:r w:rsidRPr="0021084A">
        <w:rPr>
          <w:color w:val="000000" w:themeColor="text1"/>
          <w:lang w:val="it-IT"/>
        </w:rPr>
        <w:t>.</w:t>
      </w:r>
    </w:p>
    <w:p w14:paraId="5D87B784" w14:textId="77777777" w:rsidR="00784422" w:rsidRDefault="00784422" w:rsidP="00365E22">
      <w:pPr>
        <w:pStyle w:val="Nessunaspaziatura"/>
        <w:spacing w:after="60" w:line="276" w:lineRule="auto"/>
        <w:jc w:val="both"/>
        <w:rPr>
          <w:b/>
          <w:bCs/>
          <w:lang w:val="it-IT"/>
        </w:rPr>
      </w:pPr>
    </w:p>
    <w:p w14:paraId="68FA7CDA" w14:textId="263DE7F3" w:rsidR="00784422" w:rsidRPr="009D0B4B" w:rsidRDefault="00365E22" w:rsidP="00365E22">
      <w:pPr>
        <w:pStyle w:val="Nessunaspaziatura"/>
        <w:spacing w:after="60" w:line="276" w:lineRule="auto"/>
        <w:jc w:val="both"/>
        <w:rPr>
          <w:b/>
          <w:bCs/>
          <w:lang w:val="it-IT"/>
        </w:rPr>
      </w:pPr>
      <w:r w:rsidRPr="004A54DE">
        <w:rPr>
          <w:rStyle w:val="Nessuno"/>
          <w:b/>
          <w:bCs/>
          <w:color w:val="000000" w:themeColor="text1"/>
        </w:rPr>
        <w:t xml:space="preserve">Sezione </w:t>
      </w:r>
      <w:r w:rsidR="00784422" w:rsidRPr="009D0B4B">
        <w:rPr>
          <w:b/>
          <w:bCs/>
          <w:lang w:val="it-IT"/>
        </w:rPr>
        <w:t>VIII – Disposizioni finali, finanziarie ed entrata in vigore</w:t>
      </w:r>
    </w:p>
    <w:p w14:paraId="74EE20B6" w14:textId="7D0A80AB" w:rsidR="00193CFA" w:rsidRPr="009D0B4B" w:rsidRDefault="00784422" w:rsidP="00365E22">
      <w:pPr>
        <w:spacing w:after="60" w:line="276" w:lineRule="auto"/>
        <w:jc w:val="both"/>
        <w:rPr>
          <w:color w:val="000000" w:themeColor="text1"/>
          <w:lang w:val="it-IT"/>
        </w:rPr>
      </w:pPr>
      <w:r>
        <w:rPr>
          <w:color w:val="000000" w:themeColor="text1"/>
          <w:lang w:val="it-IT"/>
        </w:rPr>
        <w:t>L’</w:t>
      </w:r>
      <w:r w:rsidRPr="00784422">
        <w:rPr>
          <w:b/>
          <w:bCs/>
          <w:color w:val="000000" w:themeColor="text1"/>
          <w:lang w:val="it-IT"/>
        </w:rPr>
        <w:t>articolo 34</w:t>
      </w:r>
      <w:r w:rsidR="00193CFA" w:rsidRPr="00784422">
        <w:rPr>
          <w:b/>
          <w:bCs/>
          <w:color w:val="000000" w:themeColor="text1"/>
          <w:lang w:val="it-IT"/>
        </w:rPr>
        <w:t xml:space="preserve"> </w:t>
      </w:r>
      <w:r w:rsidR="00193CFA" w:rsidRPr="009D0B4B">
        <w:rPr>
          <w:color w:val="000000" w:themeColor="text1"/>
          <w:lang w:val="it-IT"/>
        </w:rPr>
        <w:t>precisa, in linea con le previsioni vigenti, che forme di coordinamento operativo e informativo, nonché gli scambi di informazione disciplinati con appositi accordi e protocolli d’intesa previsti dal presente decreto avvengono, anche in deroga all’obbligo del segreto d’ufficio, nel rispetto della vigente normativa in materia di protezione dei dati personali e dei principi di necessità, proporzionalità e minimizzazione. La disposizione ha carattere ordinamentale e non comporta nuovi o maggiori oneri per la finanza pubblica.</w:t>
      </w:r>
    </w:p>
    <w:p w14:paraId="7668C390" w14:textId="77777777" w:rsidR="00CA0D47" w:rsidRDefault="00CA0D47" w:rsidP="00365E22">
      <w:pPr>
        <w:pStyle w:val="CorpoA"/>
        <w:spacing w:after="60" w:line="276" w:lineRule="auto"/>
        <w:rPr>
          <w:rStyle w:val="Nessuno"/>
          <w:rFonts w:ascii="Times New Roman" w:hAnsi="Times New Roman" w:cs="Times New Roman"/>
        </w:rPr>
      </w:pPr>
    </w:p>
    <w:p w14:paraId="24F38577" w14:textId="471DD35E" w:rsidR="000F27F5" w:rsidRDefault="000F27F5" w:rsidP="000F27F5">
      <w:pPr>
        <w:pStyle w:val="Nessunaspaziatura"/>
        <w:spacing w:after="60" w:line="276" w:lineRule="auto"/>
        <w:jc w:val="both"/>
        <w:rPr>
          <w:rStyle w:val="Nessuno"/>
          <w:color w:val="000000" w:themeColor="text1"/>
        </w:rPr>
      </w:pPr>
      <w:r>
        <w:rPr>
          <w:rStyle w:val="Nessuno"/>
          <w:color w:val="000000" w:themeColor="text1"/>
        </w:rPr>
        <w:t xml:space="preserve">Il </w:t>
      </w:r>
      <w:r w:rsidRPr="00A71623">
        <w:rPr>
          <w:rStyle w:val="Nessuno"/>
          <w:b/>
          <w:bCs/>
          <w:color w:val="000000" w:themeColor="text1"/>
        </w:rPr>
        <w:t>Capo I</w:t>
      </w:r>
      <w:r>
        <w:rPr>
          <w:rStyle w:val="Nessuno"/>
          <w:b/>
          <w:bCs/>
          <w:color w:val="000000" w:themeColor="text1"/>
        </w:rPr>
        <w:t>II</w:t>
      </w:r>
      <w:r>
        <w:rPr>
          <w:rStyle w:val="Nessuno"/>
          <w:color w:val="000000" w:themeColor="text1"/>
        </w:rPr>
        <w:t xml:space="preserve"> disciplina l’</w:t>
      </w:r>
      <w:r w:rsidR="00651993">
        <w:rPr>
          <w:rStyle w:val="Nessuno"/>
          <w:color w:val="000000" w:themeColor="text1"/>
        </w:rPr>
        <w:t>i</w:t>
      </w:r>
      <w:r w:rsidRPr="00E64DC8">
        <w:rPr>
          <w:lang w:val="it-IT"/>
        </w:rPr>
        <w:t>ntelligenza artificiale per i percorsi formativi, le professioni, il lavoro, la sanità e la pubblica amministrazione</w:t>
      </w:r>
      <w:r>
        <w:rPr>
          <w:lang w:val="it-IT"/>
        </w:rPr>
        <w:t xml:space="preserve"> e</w:t>
      </w:r>
      <w:r w:rsidRPr="00E64DC8">
        <w:rPr>
          <w:rStyle w:val="Titolo4Carattere"/>
          <w:color w:val="000000" w:themeColor="text1"/>
          <w:lang w:val="it-IT"/>
        </w:rPr>
        <w:t xml:space="preserve"> </w:t>
      </w:r>
      <w:r w:rsidRPr="00E64DC8">
        <w:rPr>
          <w:rStyle w:val="Nessuno"/>
          <w:color w:val="000000" w:themeColor="text1"/>
        </w:rPr>
        <w:t>si</w:t>
      </w:r>
      <w:r>
        <w:rPr>
          <w:rStyle w:val="Nessuno"/>
          <w:color w:val="000000" w:themeColor="text1"/>
        </w:rPr>
        <w:t xml:space="preserve"> compone di 16 articoli (da 35 a 50).</w:t>
      </w:r>
    </w:p>
    <w:p w14:paraId="6C2B8C75" w14:textId="77777777" w:rsidR="00B37AAD" w:rsidRDefault="00B37AAD" w:rsidP="000F27F5">
      <w:pPr>
        <w:pStyle w:val="Nessunaspaziatura"/>
        <w:spacing w:after="60" w:line="276" w:lineRule="auto"/>
        <w:jc w:val="both"/>
        <w:rPr>
          <w:rStyle w:val="Nessuno"/>
          <w:color w:val="000000" w:themeColor="text1"/>
        </w:rPr>
      </w:pPr>
    </w:p>
    <w:p w14:paraId="5A0A79BB" w14:textId="7DA6B33B" w:rsidR="00CA0D47" w:rsidRPr="00CA0D47" w:rsidRDefault="00B37AAD" w:rsidP="00365E22">
      <w:pPr>
        <w:tabs>
          <w:tab w:val="num" w:pos="284"/>
          <w:tab w:val="left" w:pos="426"/>
        </w:tabs>
        <w:spacing w:after="60" w:line="276" w:lineRule="auto"/>
        <w:jc w:val="both"/>
        <w:rPr>
          <w:rFonts w:eastAsia="Times New Roman"/>
          <w:color w:val="000000" w:themeColor="text1"/>
          <w:lang w:val="it-IT" w:eastAsia="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Pr>
          <w:rFonts w:eastAsia="Aptos"/>
          <w:b/>
          <w:bCs/>
          <w:kern w:val="2"/>
          <w:bdr w:val="none" w:sz="0" w:space="0" w:color="auto"/>
          <w:lang w:val="it-IT"/>
          <w14:ligatures w14:val="standardContextual"/>
        </w:rPr>
        <w:t>35</w:t>
      </w:r>
      <w:r w:rsidRPr="00676E02">
        <w:rPr>
          <w:rFonts w:eastAsia="Aptos"/>
          <w:color w:val="0000FF"/>
          <w:kern w:val="2"/>
          <w:bdr w:val="none" w:sz="0" w:space="0" w:color="auto"/>
          <w:lang w:val="it-IT"/>
          <w14:ligatures w14:val="standardContextual"/>
        </w:rPr>
        <w:t xml:space="preserve"> </w:t>
      </w:r>
      <w:r w:rsidRPr="00676E02">
        <w:rPr>
          <w:rFonts w:eastAsia="Aptos"/>
          <w:kern w:val="2"/>
          <w:bdr w:val="none" w:sz="0" w:space="0" w:color="auto"/>
          <w:lang w:val="it-IT"/>
          <w14:ligatures w14:val="standardContextual"/>
        </w:rPr>
        <w:t>(</w:t>
      </w:r>
      <w:r w:rsidRPr="00676E02">
        <w:rPr>
          <w:rFonts w:eastAsia="Aptos"/>
          <w:i/>
          <w:iCs/>
          <w:kern w:val="2"/>
          <w:bdr w:val="none" w:sz="0" w:space="0" w:color="auto"/>
          <w:lang w:val="it-IT"/>
          <w14:ligatures w14:val="standardContextual"/>
        </w:rPr>
        <w:t>Formazione degli studenti in materia di IA</w:t>
      </w:r>
      <w:r w:rsidRPr="00676E02">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Pr>
          <w:rFonts w:eastAsia="Times New Roman"/>
          <w:color w:val="000000"/>
          <w:bdr w:val="none" w:sz="0" w:space="0" w:color="auto"/>
          <w:lang w:val="it-IT" w:eastAsia="it-IT"/>
        </w:rPr>
        <w:t>dà</w:t>
      </w:r>
      <w:r w:rsidRPr="00107E5A">
        <w:rPr>
          <w:rFonts w:eastAsia="Times New Roman"/>
          <w:color w:val="000000"/>
          <w:bdr w:val="none" w:sz="0" w:space="0" w:color="auto"/>
          <w:lang w:val="it-IT" w:eastAsia="it-IT"/>
        </w:rPr>
        <w:t xml:space="preserve"> </w:t>
      </w:r>
      <w:r w:rsidR="00CA0D47" w:rsidRPr="00CA0D47">
        <w:rPr>
          <w:rFonts w:eastAsia="Times New Roman"/>
          <w:color w:val="000000" w:themeColor="text1"/>
          <w:lang w:val="it-IT" w:eastAsia="it-IT"/>
        </w:rPr>
        <w:t xml:space="preserve">attuazione all’articolo 24, comma 2, lettera g), della legge n. 132 del 2025. </w:t>
      </w:r>
    </w:p>
    <w:p w14:paraId="5EECF0F2"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CA0D47">
        <w:rPr>
          <w:rFonts w:eastAsia="Times New Roman"/>
          <w:color w:val="000000" w:themeColor="text1"/>
          <w:lang w:val="it-IT" w:eastAsia="it-IT"/>
        </w:rPr>
        <w:t xml:space="preserve">In particolare, la disposizione di cui </w:t>
      </w:r>
      <w:r w:rsidRPr="00B37AAD">
        <w:rPr>
          <w:rFonts w:eastAsia="Times New Roman"/>
          <w:color w:val="000000" w:themeColor="text1"/>
          <w:lang w:val="it-IT" w:eastAsia="it-IT"/>
        </w:rPr>
        <w:t>al</w:t>
      </w:r>
      <w:r w:rsidRPr="00B37AAD">
        <w:rPr>
          <w:rFonts w:eastAsia="Times New Roman"/>
          <w:b/>
          <w:bCs/>
          <w:color w:val="000000" w:themeColor="text1"/>
          <w:lang w:val="it-IT" w:eastAsia="it-IT"/>
        </w:rPr>
        <w:t xml:space="preserve"> comma 1</w:t>
      </w:r>
      <w:r w:rsidRPr="00B37AAD">
        <w:rPr>
          <w:rFonts w:eastAsia="Times New Roman"/>
          <w:color w:val="000000" w:themeColor="text1"/>
          <w:lang w:val="it-IT" w:eastAsia="it-IT"/>
        </w:rPr>
        <w:t xml:space="preserve"> - in coerenza con le Linee guida per l’insegnamento dell’educazione civica adottate con decreto ministeriale 7 settembre 2024, n. 183, e nel quadro della legge 20 agosto 2019, n. 92 - prevede che le istituzioni scolastiche possano promuovere attività formative in materia di intelligenza artificiale anche nell’ambito dell’educazione civica. </w:t>
      </w:r>
    </w:p>
    <w:p w14:paraId="691D3F6C" w14:textId="77777777" w:rsidR="00944244" w:rsidRDefault="00CA0D47" w:rsidP="00FF15DA">
      <w:pPr>
        <w:tabs>
          <w:tab w:val="num" w:pos="284"/>
          <w:tab w:val="left" w:pos="426"/>
        </w:tabs>
        <w:spacing w:line="276" w:lineRule="auto"/>
        <w:jc w:val="both"/>
        <w:rPr>
          <w:rFonts w:eastAsia="Times New Roman"/>
          <w:b/>
          <w:bCs/>
          <w:color w:val="EE0000"/>
          <w:lang w:val="it-IT" w:eastAsia="it-IT"/>
        </w:rPr>
      </w:pPr>
      <w:r w:rsidRPr="00B37AAD">
        <w:rPr>
          <w:rFonts w:eastAsia="Times New Roman"/>
          <w:color w:val="000000" w:themeColor="text1"/>
          <w:lang w:val="it-IT" w:eastAsia="it-IT"/>
        </w:rPr>
        <w:t>La disposizione non comporta nuovi o maggiori oneri a carico della finanza pubblica, in quanto si limita a integrare la riflessione sull’intelligenza artificiale nell’ambito dell’insegnamento dell’educazione civica, in coerenza con gli obiettivi dell’educazione alla cittadinanza digitale che costituisce uno dei nuclei concettuali che caratterizzano l’insegnamento dell’educazione civica (Costituzione, sviluppo sostenibile e cittadinanza digitale), avvalendosi delle risorse umane, strumentali e finanziarie disponibili a legislazione vigente.</w:t>
      </w:r>
      <w:r w:rsidR="00FF15DA" w:rsidRPr="00FF15DA">
        <w:rPr>
          <w:rFonts w:eastAsia="Times New Roman"/>
          <w:b/>
          <w:bCs/>
          <w:color w:val="EE0000"/>
          <w:lang w:val="it-IT" w:eastAsia="it-IT"/>
        </w:rPr>
        <w:t xml:space="preserve"> </w:t>
      </w:r>
    </w:p>
    <w:p w14:paraId="031766C9" w14:textId="170D0248" w:rsidR="00FF15DA" w:rsidRPr="00944244" w:rsidRDefault="00FF15DA" w:rsidP="00FF15DA">
      <w:pPr>
        <w:tabs>
          <w:tab w:val="num" w:pos="284"/>
          <w:tab w:val="left" w:pos="426"/>
        </w:tabs>
        <w:spacing w:line="276" w:lineRule="auto"/>
        <w:jc w:val="both"/>
        <w:rPr>
          <w:rFonts w:eastAsia="Times New Roman"/>
          <w:lang w:val="it-IT" w:eastAsia="it-IT"/>
        </w:rPr>
      </w:pPr>
      <w:r w:rsidRPr="00944244">
        <w:rPr>
          <w:rFonts w:eastAsia="Times New Roman"/>
          <w:lang w:val="it-IT" w:eastAsia="it-IT"/>
        </w:rPr>
        <w:lastRenderedPageBreak/>
        <w:t>L’intelligenza artificiale costituisce uno degli sviluppi più rilevanti dell’attuale ecosistema digitale e, per questo motivo, la sua trattazione si inserisce già, naturalmente, nel nucleo della cittadinanza digitale che, come detto, è indicato nella normativa vigente come componente essenziale dell’educazione civica.</w:t>
      </w:r>
    </w:p>
    <w:p w14:paraId="33CEE451" w14:textId="77777777" w:rsidR="00FF15DA" w:rsidRPr="00944244" w:rsidRDefault="00FF15DA" w:rsidP="00FF15DA">
      <w:pPr>
        <w:tabs>
          <w:tab w:val="num" w:pos="284"/>
          <w:tab w:val="left" w:pos="426"/>
        </w:tabs>
        <w:spacing w:line="276" w:lineRule="auto"/>
        <w:jc w:val="both"/>
        <w:rPr>
          <w:rFonts w:eastAsia="Times New Roman"/>
          <w:lang w:val="it-IT" w:eastAsia="it-IT"/>
        </w:rPr>
      </w:pPr>
      <w:r w:rsidRPr="00944244">
        <w:rPr>
          <w:rFonts w:eastAsia="Times New Roman"/>
          <w:lang w:val="it-IT" w:eastAsia="it-IT"/>
        </w:rPr>
        <w:t>Si evidenzia che l’insegnamento dell’educazione civica, ai sensi della legge 20 agosto 2019, n. 92, è caratterizzato da un approccio trasversale a tutte le discipline ed è affidato alla responsabilità collegiale di tutti i docenti della classe. A tale insegnamento sono dedicate 33 ore annuali nell’ambito del monte ore complessivo già previsto dagli ordinamenti vigenti.</w:t>
      </w:r>
    </w:p>
    <w:p w14:paraId="2319D338" w14:textId="77777777" w:rsidR="00FF15DA" w:rsidRPr="00A946DA" w:rsidRDefault="00FF15DA" w:rsidP="00FF15DA">
      <w:pPr>
        <w:tabs>
          <w:tab w:val="num" w:pos="284"/>
          <w:tab w:val="left" w:pos="426"/>
        </w:tabs>
        <w:spacing w:line="276" w:lineRule="auto"/>
        <w:jc w:val="both"/>
        <w:rPr>
          <w:rFonts w:eastAsia="Times New Roman"/>
          <w:b/>
          <w:bCs/>
          <w:lang w:val="it-IT" w:eastAsia="it-IT"/>
        </w:rPr>
      </w:pPr>
      <w:r w:rsidRPr="00A946DA">
        <w:rPr>
          <w:rFonts w:eastAsia="Times New Roman"/>
          <w:b/>
          <w:bCs/>
          <w:lang w:val="it-IT" w:eastAsia="it-IT"/>
        </w:rPr>
        <w:t xml:space="preserve">In tale prospettiva, il tema dell’intelligenza artificiale sarà trattato nell’ambito delle 33 ore destinate all’insegnamento dell’educazione civica e delle diverse discipline, con particolare riferimento alle discipline STEAM, senza richiedere l’introduzione di nuovi insegnamenti o ampliamenti dell’offerta formativa. </w:t>
      </w:r>
    </w:p>
    <w:p w14:paraId="30C8C304" w14:textId="77777777" w:rsidR="00FF15DA" w:rsidRPr="00A946DA" w:rsidRDefault="00FF15DA" w:rsidP="00FF15DA">
      <w:pPr>
        <w:tabs>
          <w:tab w:val="num" w:pos="284"/>
          <w:tab w:val="left" w:pos="426"/>
        </w:tabs>
        <w:spacing w:line="276" w:lineRule="auto"/>
        <w:jc w:val="both"/>
        <w:rPr>
          <w:rFonts w:eastAsia="Times New Roman"/>
          <w:b/>
          <w:bCs/>
          <w:lang w:val="it-IT" w:eastAsia="it-IT"/>
        </w:rPr>
      </w:pPr>
      <w:r w:rsidRPr="00A946DA">
        <w:rPr>
          <w:rFonts w:eastAsia="Times New Roman"/>
          <w:b/>
          <w:bCs/>
          <w:lang w:val="it-IT" w:eastAsia="it-IT"/>
        </w:rPr>
        <w:t xml:space="preserve">La disposizione si limita, pertanto, a integrare il nucleo tematico riferito alla cittadinanza digitale, valorizzando la crescente centralità e pervasività dell’intelligenza artificiale nei diversi contesti formativi e di vita, nel quadro degli ordinamenti vigenti. </w:t>
      </w:r>
    </w:p>
    <w:p w14:paraId="20EE48B9" w14:textId="77777777" w:rsidR="00FF15DA" w:rsidRPr="00A946DA" w:rsidRDefault="00FF15DA" w:rsidP="00FF15DA">
      <w:pPr>
        <w:tabs>
          <w:tab w:val="num" w:pos="284"/>
          <w:tab w:val="left" w:pos="426"/>
        </w:tabs>
        <w:spacing w:line="276" w:lineRule="auto"/>
        <w:jc w:val="both"/>
        <w:rPr>
          <w:rFonts w:eastAsia="Times New Roman"/>
          <w:b/>
          <w:bCs/>
          <w:lang w:val="it-IT" w:eastAsia="it-IT"/>
        </w:rPr>
      </w:pPr>
      <w:r w:rsidRPr="00A946DA">
        <w:rPr>
          <w:rFonts w:eastAsia="Times New Roman"/>
          <w:b/>
          <w:bCs/>
          <w:lang w:val="it-IT" w:eastAsia="it-IT"/>
        </w:rPr>
        <w:t>Dalla disposizione in parola, quindi, non derivano incrementi del tempo scuola, modifiche degli assetti organizzativi o esigenze di personale aggiuntivo. Non sono, pertanto, configurabili effetti onerosi aggiuntivi a carico della finanza pubblica.</w:t>
      </w:r>
    </w:p>
    <w:p w14:paraId="42E450FA" w14:textId="706893A2"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p>
    <w:p w14:paraId="4C035139"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Il </w:t>
      </w:r>
      <w:r w:rsidRPr="00B37AAD">
        <w:rPr>
          <w:rFonts w:eastAsia="Times New Roman"/>
          <w:b/>
          <w:bCs/>
          <w:color w:val="000000" w:themeColor="text1"/>
          <w:lang w:val="it-IT" w:eastAsia="it-IT"/>
        </w:rPr>
        <w:t xml:space="preserve">comma 2 </w:t>
      </w:r>
      <w:r w:rsidRPr="00B37AAD">
        <w:rPr>
          <w:rFonts w:eastAsia="Times New Roman"/>
          <w:color w:val="000000" w:themeColor="text1"/>
          <w:lang w:val="it-IT" w:eastAsia="it-IT"/>
        </w:rPr>
        <w:t>prevede che le istituzioni scolastiche del sistema nazionale di istruzione, nell’ambito della propria autonomia e in coerenza con il Piano triennale dell’offerta formativa (PTOF), promuovano nei curricoli moduli formativi volti al potenziamento delle competenze STEAM, anche attraverso i percorsi di formazione scuola-lavoro di cui all’articolo 1, comma 784-octies, della legge 30 dicembre 2018, n. 145, anche mediante l’integrazione degli strumenti di intelligenza artificiale nella didattica.</w:t>
      </w:r>
    </w:p>
    <w:p w14:paraId="364FDFB5"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La disposizione si inserisce nel quadro delle misure previste dall’articolo 1, commi 548–554, della legge 29 dicembre 2022, n. 197, in attuazione del PNRR, Missione 4 “Istruzione e ricerca” – Componente 1 “Potenziamento dell’offerta dei servizi di istruzione: dagli asili nido alle Università”, finalizzate al rafforzamento delle competenze STEM, digitali e di innovazione in tutti i livelli del sistema educativo. Le citate disposizioni prevedono, tra l’altro, la definizione di linee guida per l’inserimento nel PTOF di azioni per il potenziamento delle competenze matematico-scientifico-tecnologiche e digitali, la promozione di reti di scuole e alleanze educative, nonché lo sviluppo di metodologie didattiche innovative anche mediante la condivisione di buone pratiche e iniziative, anche extrascolastiche, nell’ambito delle linee di investimento della Missione 4, Componente 1 del PNRR (investimenti 1.4, 1.5, 2.1 e 3.1), </w:t>
      </w:r>
      <w:r w:rsidRPr="00B37AAD">
        <w:rPr>
          <w:rFonts w:eastAsia="Times New Roman"/>
          <w:b/>
          <w:bCs/>
          <w:color w:val="000000" w:themeColor="text1"/>
          <w:lang w:val="it-IT" w:eastAsia="it-IT"/>
        </w:rPr>
        <w:t xml:space="preserve">nei limiti delle risorse previste per i singoli interventi, nonché dei fondi strutturali per l’istruzione 2021–2027 e delle ordinarie risorse di bilancio del Ministero dell’istruzione e del merito. </w:t>
      </w:r>
    </w:p>
    <w:p w14:paraId="31460117"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Inoltre, i percorsi di formazione scuola-lavoro di cui all’articolo 1, comma 784-octies, della legge 30 dicembre 2018, n. 145, </w:t>
      </w:r>
      <w:r w:rsidRPr="00B37AAD">
        <w:rPr>
          <w:rFonts w:eastAsia="Times New Roman"/>
          <w:b/>
          <w:bCs/>
          <w:color w:val="000000" w:themeColor="text1"/>
          <w:lang w:val="it-IT" w:eastAsia="it-IT"/>
        </w:rPr>
        <w:t>risultano già finanziati nell’ambito delle risorse disponibili a legislazione vigente e non determinano nuovi o maggiori oneri a carico della finanza pubblica.</w:t>
      </w:r>
    </w:p>
    <w:p w14:paraId="65A49D21"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La disposizione, pertanto, non comporta nuovi o maggiori oneri a carico della finanza pubblica, in quanto le attività ivi previste sono realizzate nell’ambito dell’autonomia didattica e organizzativa delle istituzioni scolastiche e con le risorse umane, strumentali e finanziarie già disponibili a legislazione vigente.</w:t>
      </w:r>
    </w:p>
    <w:p w14:paraId="772CE9A8"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lastRenderedPageBreak/>
        <w:t xml:space="preserve">Il </w:t>
      </w:r>
      <w:r w:rsidRPr="00B37AAD">
        <w:rPr>
          <w:rFonts w:eastAsia="Times New Roman"/>
          <w:b/>
          <w:bCs/>
          <w:color w:val="000000" w:themeColor="text1"/>
          <w:lang w:val="it-IT" w:eastAsia="it-IT"/>
        </w:rPr>
        <w:t>comma 3</w:t>
      </w:r>
      <w:r w:rsidRPr="00B37AAD">
        <w:rPr>
          <w:rFonts w:eastAsia="Times New Roman"/>
          <w:color w:val="000000" w:themeColor="text1"/>
          <w:lang w:val="it-IT" w:eastAsia="it-IT"/>
        </w:rPr>
        <w:t xml:space="preserve"> dispone che il Ministero dell’istruzione e del merito provveda all’aggiornamento delle Linee guida per le discipline STEM, adottate con decreto ministeriale 15 settembre 2023, n. 184, al fine di assicurare coerenza metodologica e scientifica nell’integrazione dell’intelligenza artificiale nelle discipline scientifiche. Tale aggiornamento risponde all’esigenza di adeguare i riferimenti didattici ai rapidi mutamenti dell’ecosistema digitale e tecnologico, garantendo al contempo continuità e qualità dell’azione educativa.</w:t>
      </w:r>
    </w:p>
    <w:p w14:paraId="110CB6BD"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b/>
          <w:bCs/>
          <w:color w:val="000000" w:themeColor="text1"/>
          <w:lang w:val="it-IT" w:eastAsia="it-IT"/>
        </w:rPr>
        <w:t>La disposizione introdotta non comporta nuovi o maggiori oneri a carico della finanza pubblica, in quanto l’amministrazione interessata provvede agli adempimenti ivi previsti con le risorse umane, finanziarie e strumentali previste a legislazione vigente.</w:t>
      </w:r>
    </w:p>
    <w:p w14:paraId="2FCB28EF" w14:textId="77777777" w:rsidR="00CA0D47" w:rsidRPr="00B37AAD" w:rsidRDefault="00CA0D47" w:rsidP="00365E22">
      <w:pPr>
        <w:tabs>
          <w:tab w:val="num" w:pos="284"/>
          <w:tab w:val="left" w:pos="426"/>
        </w:tabs>
        <w:spacing w:after="60" w:line="276" w:lineRule="auto"/>
        <w:jc w:val="both"/>
        <w:rPr>
          <w:rFonts w:eastAsia="Times New Roman"/>
          <w:lang w:val="it-IT" w:eastAsia="it-IT"/>
        </w:rPr>
      </w:pPr>
      <w:r w:rsidRPr="00B37AAD">
        <w:rPr>
          <w:rFonts w:eastAsia="Times New Roman"/>
          <w:b/>
          <w:bCs/>
          <w:lang w:val="it-IT" w:eastAsia="it-IT"/>
        </w:rPr>
        <w:t xml:space="preserve">comma 4 </w:t>
      </w:r>
      <w:r w:rsidRPr="00B37AAD">
        <w:rPr>
          <w:rFonts w:eastAsia="Times New Roman"/>
          <w:lang w:val="it-IT" w:eastAsia="it-IT"/>
        </w:rPr>
        <w:t xml:space="preserve">La norma stabilisce che, nell’ambito delle iniziative previste dal presente articolo, il Ministero del Lavoro e delle Politiche Sociali contribuisca, per quanto di competenza, all’analisi dei fabbisogni professionali e delle competenze emergenti connesse alle discipline STEAM e all’intelligenza artificiale, anche ai fini dell’orientamento informato degli studenti e del raccordo con i percorsi di formazione tecnica superiore, professionale e continua. </w:t>
      </w:r>
    </w:p>
    <w:p w14:paraId="1FEE1C1D" w14:textId="77777777" w:rsidR="00CA0D47" w:rsidRPr="00B37AAD" w:rsidRDefault="00CA0D47" w:rsidP="00365E22">
      <w:pPr>
        <w:tabs>
          <w:tab w:val="num" w:pos="284"/>
          <w:tab w:val="left" w:pos="426"/>
        </w:tabs>
        <w:spacing w:after="60" w:line="276" w:lineRule="auto"/>
        <w:jc w:val="both"/>
        <w:rPr>
          <w:rFonts w:eastAsia="Times New Roman"/>
          <w:lang w:val="it-IT" w:eastAsia="it-IT"/>
        </w:rPr>
      </w:pPr>
      <w:r w:rsidRPr="00B37AAD">
        <w:rPr>
          <w:rFonts w:eastAsia="Times New Roman"/>
          <w:lang w:val="it-IT" w:eastAsia="it-IT"/>
        </w:rPr>
        <w:t>L’obiettivo è rafforzare la capacità del sistema formativo di adeguarsi ai fabbisogni del mercato del lavoro e favorire l’orientamento consapevole degli studenti, senza introdurre nuovi strumenti finanziari o trasferimenti obbligatori.</w:t>
      </w:r>
    </w:p>
    <w:p w14:paraId="0CB93C5C" w14:textId="77777777" w:rsidR="00CA0D47" w:rsidRPr="00B37AAD" w:rsidRDefault="00CA0D47" w:rsidP="00365E22">
      <w:pPr>
        <w:tabs>
          <w:tab w:val="num" w:pos="284"/>
          <w:tab w:val="left" w:pos="426"/>
        </w:tabs>
        <w:spacing w:after="60" w:line="276" w:lineRule="auto"/>
        <w:jc w:val="both"/>
        <w:rPr>
          <w:rFonts w:eastAsia="Times New Roman"/>
          <w:lang w:val="it-IT" w:eastAsia="it-IT"/>
        </w:rPr>
      </w:pPr>
      <w:r w:rsidRPr="00B37AAD">
        <w:rPr>
          <w:rFonts w:eastAsia="Times New Roman"/>
          <w:lang w:val="it-IT" w:eastAsia="it-IT"/>
        </w:rPr>
        <w:t xml:space="preserve">Dal punto di vista finanziario, la norma non comporta nuovi o maggiori oneri a carico della finanza pubblica. </w:t>
      </w:r>
      <w:r w:rsidRPr="00B37AAD">
        <w:rPr>
          <w:rFonts w:eastAsia="Times New Roman"/>
          <w:b/>
          <w:bCs/>
          <w:lang w:val="it-IT" w:eastAsia="it-IT"/>
        </w:rPr>
        <w:t>Le attività di analisi dei fabbisogni professionali e delle competenze emergenti rientrano, difatti, nelle funzioni ordinarie del Ministero del Lavoro e delle Politiche Sociali, che dispone già delle strutture e delle risorse necessarie per il monitoraggio del mercato del lavoro, la raccolta di dati e la produzione di report</w:t>
      </w:r>
      <w:r w:rsidRPr="00B37AAD">
        <w:rPr>
          <w:rFonts w:eastAsia="Times New Roman"/>
          <w:lang w:val="it-IT" w:eastAsia="it-IT"/>
        </w:rPr>
        <w:t xml:space="preserve">. </w:t>
      </w:r>
    </w:p>
    <w:p w14:paraId="394D5543" w14:textId="77777777" w:rsidR="00CA0D47" w:rsidRPr="00B37AAD" w:rsidRDefault="00CA0D47" w:rsidP="00365E22">
      <w:pPr>
        <w:tabs>
          <w:tab w:val="num" w:pos="284"/>
          <w:tab w:val="left" w:pos="426"/>
        </w:tabs>
        <w:spacing w:after="60" w:line="276" w:lineRule="auto"/>
        <w:jc w:val="both"/>
        <w:rPr>
          <w:rFonts w:eastAsia="Times New Roman"/>
          <w:lang w:val="it-IT" w:eastAsia="it-IT"/>
        </w:rPr>
      </w:pPr>
      <w:r w:rsidRPr="00B37AAD">
        <w:rPr>
          <w:rFonts w:eastAsia="Times New Roman"/>
          <w:lang w:val="it-IT" w:eastAsia="it-IT"/>
        </w:rPr>
        <w:t xml:space="preserve">Inoltre, il raccordo con i percorsi di formazione tecnica superiore, professionale e continua può essere assicurato attraverso i </w:t>
      </w:r>
      <w:r w:rsidRPr="00B37AAD">
        <w:rPr>
          <w:rFonts w:eastAsia="Times New Roman"/>
          <w:b/>
          <w:bCs/>
          <w:lang w:val="it-IT" w:eastAsia="it-IT"/>
        </w:rPr>
        <w:t>canali istituzionali esistenti e le piattaforme di orientamento già operative, senza la necessità di nuovi investimenti infrastrutturali o finanziari</w:t>
      </w:r>
      <w:r w:rsidRPr="00B37AAD">
        <w:rPr>
          <w:rFonts w:eastAsia="Times New Roman"/>
          <w:lang w:val="it-IT" w:eastAsia="it-IT"/>
        </w:rPr>
        <w:t>.</w:t>
      </w:r>
    </w:p>
    <w:p w14:paraId="66CCBBE3"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 xml:space="preserve">Il </w:t>
      </w:r>
      <w:r w:rsidRPr="00B37AAD">
        <w:rPr>
          <w:rFonts w:eastAsia="Times New Roman"/>
          <w:b/>
          <w:bCs/>
          <w:color w:val="000000" w:themeColor="text1"/>
          <w:lang w:val="it-IT" w:eastAsia="it-IT"/>
        </w:rPr>
        <w:t>comma 5</w:t>
      </w:r>
      <w:r w:rsidRPr="00B37AAD">
        <w:rPr>
          <w:rFonts w:eastAsia="Times New Roman"/>
          <w:color w:val="000000" w:themeColor="text1"/>
          <w:lang w:val="it-IT" w:eastAsia="it-IT"/>
        </w:rPr>
        <w:t xml:space="preserve"> rafforza il ruolo dell’orientamento scolastico quale strumento essenziale per accompagnare gli studenti delle scuole secondarie di primo e secondo grado verso scelte consapevoli in materia di percorsi di istruzione e formazione superiore, con particolare riferimento agli ambiti STEAM, in considerazione della crescente rilevanza strategica di tali competenze nei contesti accademici e professionali contemporanei.</w:t>
      </w:r>
    </w:p>
    <w:p w14:paraId="5750D76B"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In coerenza con il Piano triennale dell’offerta formativa, le istituzioni scolastiche sono chiamate ad adottare specifiche iniziative di orientamento, anche nell’ambito della progettazione dei moduli di orientamento formativo, volte a rafforzare competenze disciplinari e trasversali, valorizzare attitudini e talenti individuali e contrastare fenomeni di dispersione o disallineamento tra percorsi di studio e prospettive formative e professionali.</w:t>
      </w:r>
    </w:p>
    <w:p w14:paraId="5365098C"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La disposizione in esame si inserisce nel solco dei percorsi strutturati di orientamento nelle istituzioni scolastiche già previsti a legislazione vigente. Per l’attuazione di tali percorsi, le istituzioni scolastiche possono avvalersi degli strumenti di flessibilità didattica e organizzativa previsti dal d.P.R. n. 275 del 1999. Del resto, la trasversalità delle attività di orientamento non richiede incrementi o modifiche all’organico del personale scolastico.</w:t>
      </w:r>
    </w:p>
    <w:p w14:paraId="662C2C5B"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 xml:space="preserve">La disposizione in esame, pertanto, non innovando l’ordinamento ma collocandosi nell’ambito di un processo già strutturato e consolidato, non comporta nuovi o maggiori oneri a carico della finanza pubblica, in quanto si inserisce nell’ambito delle misure già previste a legislazione vigente e delle ordinarie attività di orientamento delle istituzioni scolastiche, che si avvalgono </w:t>
      </w:r>
      <w:r w:rsidRPr="00B37AAD">
        <w:rPr>
          <w:rFonts w:eastAsia="Times New Roman"/>
          <w:b/>
          <w:bCs/>
          <w:color w:val="000000" w:themeColor="text1"/>
          <w:lang w:val="it-IT" w:eastAsia="it-IT"/>
        </w:rPr>
        <w:lastRenderedPageBreak/>
        <w:t>delle risorse umane, strumentali e finanziarie disponibili a legislazione vigente, nonché degli strumenti di flessibilità organizzativa già previsti dall’ordinamento.</w:t>
      </w:r>
    </w:p>
    <w:p w14:paraId="47AE797F"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La disposizione demanda inoltre al Ministero dell’istruzione e del merito l’aggiornamento delle Linee guida per l’orientamento, adottate con decreto ministeriale n. 328 del 22 dicembre 2022, al fine di assicurarne la coerenza con l’evoluzione dei contesti tecnologici e scientifici.</w:t>
      </w:r>
    </w:p>
    <w:p w14:paraId="0B77E032"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La disposizione introdotta non comporta nuovi o maggiori oneri a carico della finanza pubblica, in quanto l’amministrazione interessata provvede agli adempimenti ivi previsti con le risorse umane, finanziarie e strumentali previste a legislazione vigente.</w:t>
      </w:r>
    </w:p>
    <w:p w14:paraId="10E09697"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 xml:space="preserve">La disposizione di cui al </w:t>
      </w:r>
      <w:r w:rsidRPr="00B37AAD">
        <w:rPr>
          <w:rFonts w:eastAsia="Times New Roman"/>
          <w:b/>
          <w:bCs/>
          <w:color w:val="000000" w:themeColor="text1"/>
          <w:lang w:val="it-IT" w:eastAsia="it-IT"/>
        </w:rPr>
        <w:t>comma 6</w:t>
      </w:r>
      <w:r w:rsidRPr="00B37AAD">
        <w:rPr>
          <w:rFonts w:eastAsia="Times New Roman"/>
          <w:color w:val="000000" w:themeColor="text1"/>
          <w:lang w:val="it-IT" w:eastAsia="it-IT"/>
        </w:rPr>
        <w:t xml:space="preserve"> definisce la cornice normativa per l’aggiornamento delle Indicazioni nazionali per i licei, prevedendo l’introduzione dell’intelligenza artificiale nei curricoli scolastici, in coerenza con la legge 23 settembre 2025, n. 132, recante “</w:t>
      </w:r>
      <w:r w:rsidRPr="00B37AAD">
        <w:rPr>
          <w:rFonts w:eastAsia="Times New Roman"/>
          <w:i/>
          <w:iCs/>
          <w:color w:val="000000" w:themeColor="text1"/>
          <w:lang w:val="it-IT" w:eastAsia="it-IT"/>
        </w:rPr>
        <w:t>Disposizioni e deleghe al Governo in materia di intelligenza artificiale</w:t>
      </w:r>
      <w:r w:rsidRPr="00B37AAD">
        <w:rPr>
          <w:rFonts w:eastAsia="Times New Roman"/>
          <w:color w:val="000000" w:themeColor="text1"/>
          <w:lang w:val="it-IT" w:eastAsia="it-IT"/>
        </w:rPr>
        <w:t xml:space="preserve">”. Le Indicazioni nazionali per i licei attualmente vigenti risalgono al 2010. Il tempo trascorso dalla loro emanazione, unitamente alle profonde trasformazioni intervenute nei contesti sociale, culturale, economico e tecnologico, rende necessaria una revisione organica dei relativi contenuti. In particolare, le stesse risultano antecedenti alla diffusione pervasiva delle tecnologie digitali avanzate e dell’intelligenza artificiale generativa. </w:t>
      </w:r>
    </w:p>
    <w:p w14:paraId="12FDC9B8" w14:textId="77777777" w:rsidR="00CA0D47" w:rsidRPr="00B37AAD" w:rsidRDefault="00CA0D47" w:rsidP="00365E22">
      <w:pPr>
        <w:tabs>
          <w:tab w:val="num" w:pos="284"/>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La disposizione evidenzia, pertanto, l’esigenza di introdurre riferimenti organici all’intelligenza artificiale nei curricoli scolastici. La disposizione richiama, altresì, lo strumento normativo mediante il quale sono adottate le Indicazioni nazionali per i licei, individuato nell’articolo 13, comma 10, lettera a), del decreto del Presidente della Repubblica 15 marzo 2010, n. 89. L’aggiornamento delle Indicazioni nazionali relative al liceo scientifico a indirizzo sportivo e al liceo del Made in Italy è disposto ai sensi della medesima previsione, al fine di assicurare la ricomposizione delle Indicazioni nazionali in un testo unitario riferito a tutti gli indirizzi liceali.</w:t>
      </w:r>
    </w:p>
    <w:p w14:paraId="276DAA49" w14:textId="77777777" w:rsidR="008E514F" w:rsidRPr="008E514F" w:rsidRDefault="008E514F" w:rsidP="008E514F">
      <w:pPr>
        <w:tabs>
          <w:tab w:val="num" w:pos="284"/>
          <w:tab w:val="left" w:pos="426"/>
        </w:tabs>
        <w:spacing w:line="276" w:lineRule="auto"/>
        <w:jc w:val="both"/>
        <w:rPr>
          <w:rFonts w:eastAsia="Times New Roman"/>
          <w:b/>
          <w:bCs/>
          <w:lang w:val="it-IT" w:eastAsia="it-IT"/>
        </w:rPr>
      </w:pPr>
      <w:r w:rsidRPr="008E514F">
        <w:rPr>
          <w:rFonts w:eastAsia="Times New Roman"/>
          <w:b/>
          <w:bCs/>
          <w:lang w:val="it-IT" w:eastAsia="it-IT"/>
        </w:rPr>
        <w:t>La disposizione in esame non prevede l’introduzione di una ulteriore disciplina sull’intelligenza artificiale, ma si limita a prevederne l’inserimento all’interno degli ambiti disciplinari già previsti dagli ordinamenti vigenti. In tale prospettiva, l’intelligenza artificiale entra nelle diverse discipline, in particolare in quelle dell’area matematico-scientifica, come ambito trasversale di apprendimento e come chiave interpretativa delle discipline e dei relativi contenuti disciplinari.</w:t>
      </w:r>
    </w:p>
    <w:p w14:paraId="352A80AC" w14:textId="77777777" w:rsidR="008E514F" w:rsidRPr="008E514F" w:rsidRDefault="008E514F" w:rsidP="008E514F">
      <w:pPr>
        <w:tabs>
          <w:tab w:val="num" w:pos="284"/>
          <w:tab w:val="left" w:pos="426"/>
        </w:tabs>
        <w:spacing w:line="276" w:lineRule="auto"/>
        <w:jc w:val="both"/>
        <w:rPr>
          <w:rFonts w:eastAsia="Times New Roman"/>
          <w:b/>
          <w:bCs/>
          <w:lang w:val="it-IT" w:eastAsia="it-IT"/>
        </w:rPr>
      </w:pPr>
      <w:r w:rsidRPr="008E514F">
        <w:rPr>
          <w:rFonts w:eastAsia="Times New Roman"/>
          <w:b/>
          <w:bCs/>
          <w:lang w:val="it-IT" w:eastAsia="it-IT"/>
        </w:rPr>
        <w:t>L’intelligenza artificiale rappresenta altresì uno strumento per l’introduzione di metodologie didattiche innovative e laboratoriali in tutte le discipline, che trovano realizzazione nell’ambito del processo di insegnamento-apprendimento già consolidato e delle risorse</w:t>
      </w:r>
      <w:r w:rsidRPr="008E514F">
        <w:rPr>
          <w:lang w:val="it-IT"/>
        </w:rPr>
        <w:t xml:space="preserve"> </w:t>
      </w:r>
      <w:r w:rsidRPr="008E514F">
        <w:rPr>
          <w:rFonts w:eastAsia="Times New Roman"/>
          <w:b/>
          <w:bCs/>
          <w:lang w:val="it-IT" w:eastAsia="it-IT"/>
        </w:rPr>
        <w:t xml:space="preserve">umane, strumentali e finanziarie già disponibili a legislazione vigente. </w:t>
      </w:r>
    </w:p>
    <w:p w14:paraId="3A970B45" w14:textId="77777777" w:rsidR="008E514F" w:rsidRPr="008E514F" w:rsidRDefault="008E514F" w:rsidP="008E514F">
      <w:pPr>
        <w:tabs>
          <w:tab w:val="num" w:pos="284"/>
          <w:tab w:val="left" w:pos="426"/>
        </w:tabs>
        <w:spacing w:line="276" w:lineRule="auto"/>
        <w:jc w:val="both"/>
        <w:rPr>
          <w:rFonts w:eastAsia="Times New Roman"/>
          <w:b/>
          <w:bCs/>
          <w:lang w:val="it-IT" w:eastAsia="it-IT"/>
        </w:rPr>
      </w:pPr>
      <w:r w:rsidRPr="008E514F">
        <w:rPr>
          <w:rFonts w:eastAsia="Times New Roman"/>
          <w:b/>
          <w:bCs/>
          <w:lang w:val="it-IT" w:eastAsia="it-IT"/>
        </w:rPr>
        <w:t xml:space="preserve">La disposizione si limita, pertanto, a integrare i “contenuti” e le metodologie </w:t>
      </w:r>
      <w:proofErr w:type="spellStart"/>
      <w:r w:rsidRPr="008E514F">
        <w:rPr>
          <w:rFonts w:eastAsia="Times New Roman"/>
          <w:b/>
          <w:bCs/>
          <w:lang w:val="it-IT" w:eastAsia="it-IT"/>
        </w:rPr>
        <w:t>didiattiche</w:t>
      </w:r>
      <w:proofErr w:type="spellEnd"/>
      <w:r w:rsidRPr="008E514F">
        <w:rPr>
          <w:rFonts w:eastAsia="Times New Roman"/>
          <w:b/>
          <w:bCs/>
          <w:lang w:val="it-IT" w:eastAsia="it-IT"/>
        </w:rPr>
        <w:t xml:space="preserve"> connesse all’intelligenza artificiale nelle diverse discipline già previste dall’ordinamento scolastico, le quali, per tale ragione dovranno essere – semplicemente – aggiornate a tali contenuti e metodologie. </w:t>
      </w:r>
    </w:p>
    <w:p w14:paraId="2D30476D" w14:textId="1DB8BDB3" w:rsidR="00CA0D47" w:rsidRPr="00B37AAD" w:rsidRDefault="008E514F" w:rsidP="008E514F">
      <w:pPr>
        <w:tabs>
          <w:tab w:val="num" w:pos="284"/>
          <w:tab w:val="left" w:pos="426"/>
        </w:tabs>
        <w:spacing w:after="60" w:line="276" w:lineRule="auto"/>
        <w:jc w:val="both"/>
        <w:rPr>
          <w:rFonts w:eastAsia="Times New Roman"/>
          <w:b/>
          <w:bCs/>
          <w:color w:val="000000" w:themeColor="text1"/>
          <w:lang w:val="it-IT" w:eastAsia="it-IT"/>
        </w:rPr>
      </w:pPr>
      <w:r w:rsidRPr="008E514F">
        <w:rPr>
          <w:rFonts w:eastAsia="Times New Roman"/>
          <w:b/>
          <w:bCs/>
          <w:lang w:val="it-IT" w:eastAsia="it-IT"/>
        </w:rPr>
        <w:t xml:space="preserve">Si conferma, pertanto, che le nuove Indicazioni nazionali, di prossima adozione, si limiteranno a intervenire </w:t>
      </w:r>
      <w:r w:rsidR="00CA0D47" w:rsidRPr="008E514F">
        <w:rPr>
          <w:rFonts w:eastAsia="Times New Roman"/>
          <w:b/>
          <w:bCs/>
          <w:lang w:val="it-IT" w:eastAsia="it-IT"/>
        </w:rPr>
        <w:t xml:space="preserve">sul </w:t>
      </w:r>
      <w:r w:rsidR="00CA0D47" w:rsidRPr="00B37AAD">
        <w:rPr>
          <w:rFonts w:eastAsia="Times New Roman"/>
          <w:b/>
          <w:bCs/>
          <w:color w:val="000000" w:themeColor="text1"/>
          <w:lang w:val="it-IT" w:eastAsia="it-IT"/>
        </w:rPr>
        <w:t>piano contenutistico, senza determinare incrementi del monte ore annuale delle discipline, né variazioni dell’orario di funzionamento settimanale e annuale delle sezioni e delle classi, restando invariati gli attuali quadri orari e le dotazioni organiche del personale docente.</w:t>
      </w:r>
    </w:p>
    <w:p w14:paraId="3030E130" w14:textId="77777777" w:rsidR="00CA0D47" w:rsidRPr="00B37AAD" w:rsidRDefault="00CA0D47" w:rsidP="00365E22">
      <w:pPr>
        <w:tabs>
          <w:tab w:val="num" w:pos="284"/>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 xml:space="preserve">Gli adempimenti connessi all’attuazione della disposizione rientrano nelle attività istituzionali già demandate al Ministero dell’istruzione e de merito e alle istituzioni scolastiche autonome e </w:t>
      </w:r>
      <w:r w:rsidRPr="00B37AAD">
        <w:rPr>
          <w:rFonts w:eastAsia="Times New Roman"/>
          <w:b/>
          <w:bCs/>
          <w:color w:val="000000" w:themeColor="text1"/>
          <w:lang w:val="it-IT" w:eastAsia="it-IT"/>
        </w:rPr>
        <w:lastRenderedPageBreak/>
        <w:t>sono svolti nell’ambito delle risorse umane, finanziarie e strumentali disponibili a legislazione vigente. Dall’attuazione della presente disposizione non derivano, pertanto, nuovi o maggiori oneri a carico della finanza pubblica.</w:t>
      </w:r>
    </w:p>
    <w:p w14:paraId="5E3BB7F1" w14:textId="77777777" w:rsidR="00CA0D47" w:rsidRPr="00B37AAD" w:rsidRDefault="00CA0D47" w:rsidP="00365E22">
      <w:pPr>
        <w:tabs>
          <w:tab w:val="num" w:pos="284"/>
          <w:tab w:val="left" w:pos="426"/>
        </w:tabs>
        <w:spacing w:after="60" w:line="276" w:lineRule="auto"/>
        <w:rPr>
          <w:rFonts w:eastAsia="Times New Roman"/>
          <w:color w:val="000000" w:themeColor="text1"/>
          <w:lang w:val="it-IT" w:eastAsia="it-IT"/>
        </w:rPr>
      </w:pPr>
    </w:p>
    <w:p w14:paraId="5DA40B74" w14:textId="56362DA9" w:rsidR="00CA0D47" w:rsidRPr="00B37AAD" w:rsidRDefault="004C4403" w:rsidP="00365E22">
      <w:pPr>
        <w:tabs>
          <w:tab w:val="left" w:pos="426"/>
          <w:tab w:val="left" w:pos="709"/>
        </w:tabs>
        <w:spacing w:after="60" w:line="276" w:lineRule="auto"/>
        <w:jc w:val="both"/>
        <w:rPr>
          <w:rFonts w:eastAsia="Times New Roman"/>
          <w:color w:val="000000" w:themeColor="text1"/>
          <w:lang w:val="it-IT" w:eastAsia="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6E6381">
        <w:rPr>
          <w:rFonts w:eastAsia="Aptos"/>
          <w:b/>
          <w:bCs/>
          <w:kern w:val="2"/>
          <w:bdr w:val="none" w:sz="0" w:space="0" w:color="auto"/>
          <w:lang w:val="it-IT"/>
          <w14:ligatures w14:val="standardContextual"/>
        </w:rPr>
        <w:t xml:space="preserve"> 36</w:t>
      </w:r>
      <w:r w:rsidRPr="006E6381">
        <w:rPr>
          <w:rFonts w:eastAsia="Times New Roman"/>
          <w:b/>
          <w:bCs/>
          <w:color w:val="0000FF"/>
          <w:kern w:val="2"/>
          <w:bdr w:val="none" w:sz="0" w:space="0" w:color="auto"/>
          <w:lang w:val="it-IT"/>
          <w14:ligatures w14:val="standardContextual"/>
        </w:rPr>
        <w:t xml:space="preserve"> </w:t>
      </w:r>
      <w:r w:rsidRPr="00676E02">
        <w:rPr>
          <w:rFonts w:eastAsia="Aptos"/>
          <w:kern w:val="2"/>
          <w:bdr w:val="none" w:sz="0" w:space="0" w:color="auto"/>
          <w:lang w:val="it-IT"/>
          <w14:ligatures w14:val="standardContextual"/>
        </w:rPr>
        <w:t>(</w:t>
      </w:r>
      <w:r w:rsidRPr="00676E02">
        <w:rPr>
          <w:rFonts w:eastAsia="Aptos"/>
          <w:i/>
          <w:iCs/>
          <w:kern w:val="2"/>
          <w:bdr w:val="none" w:sz="0" w:space="0" w:color="auto"/>
          <w:lang w:val="it-IT"/>
          <w14:ligatures w14:val="standardContextual"/>
        </w:rPr>
        <w:t>Emergenza educativa relativa all’uso dei social e dell’intelligenza artificiale</w:t>
      </w:r>
      <w:r w:rsidRPr="00676E02">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B37AAD">
        <w:rPr>
          <w:rFonts w:eastAsia="Times New Roman"/>
          <w:color w:val="000000" w:themeColor="text1"/>
          <w:lang w:val="it-IT" w:eastAsia="it-IT"/>
        </w:rPr>
        <w:t>prevede l’attivazione di un piano di formazione rivolto al personale docente, quale misura finalizzata a rafforzare la capacità del sistema scolastico di promuovere il benessere degli studenti nell’ambiente digitale, anche in relazione alla crescente diffusione e pervasività dei social media e delle piattaforme di comunicazione e condivisione di contenuti multimediali. La formazione è orientata a sostenere lo sviluppo di competenze utili alla trattazione, nell’ambito dei processi di insegnamento e apprendimento, dei temi connessi all’uso consapevole dei social media e delle piattaforme digitali, nell’ambito dell’innovazione metodologica della didattica.</w:t>
      </w:r>
    </w:p>
    <w:p w14:paraId="795850C8" w14:textId="77777777" w:rsidR="00CA0D47" w:rsidRPr="00B37AAD" w:rsidRDefault="00CA0D47" w:rsidP="00365E22">
      <w:pPr>
        <w:tabs>
          <w:tab w:val="left" w:pos="426"/>
          <w:tab w:val="left" w:pos="709"/>
        </w:tabs>
        <w:spacing w:after="60" w:line="276" w:lineRule="auto"/>
        <w:jc w:val="both"/>
        <w:rPr>
          <w:rFonts w:eastAsia="Times New Roman"/>
          <w:color w:val="000000" w:themeColor="text1"/>
          <w:lang w:val="it-IT" w:eastAsia="it-IT"/>
        </w:rPr>
      </w:pPr>
      <w:r w:rsidRPr="00B37AAD">
        <w:rPr>
          <w:rFonts w:eastAsia="Times New Roman"/>
          <w:b/>
          <w:bCs/>
          <w:color w:val="000000" w:themeColor="text1"/>
          <w:lang w:val="it-IT" w:eastAsia="it-IT"/>
        </w:rPr>
        <w:t>Per l’avvio del piano di formazione del personale docente del sistema nazionale di istruzione è previsto uno stanziamento pari a 100 milioni di euro a valere sul Programma nazionale “PN Scuola e Competenze 2021–2027”, nel rispetto delle relative finalizzazioni e procedure di programmazione e utilizzo delle risorse, senza generare nuovi o maggiori oneri a carico della finanza pubblica.</w:t>
      </w:r>
    </w:p>
    <w:p w14:paraId="439D8561" w14:textId="05AD4772" w:rsidR="00CA0D47" w:rsidRPr="00B37AAD" w:rsidRDefault="00061EA2" w:rsidP="00365E22">
      <w:pPr>
        <w:tabs>
          <w:tab w:val="left" w:pos="426"/>
        </w:tabs>
        <w:spacing w:after="60" w:line="276" w:lineRule="auto"/>
        <w:jc w:val="both"/>
        <w:rPr>
          <w:rFonts w:eastAsia="Times New Roman"/>
          <w:b/>
          <w:bCs/>
          <w:color w:val="000000" w:themeColor="text1"/>
          <w:lang w:val="it-IT" w:eastAsia="it-IT"/>
        </w:rPr>
      </w:pPr>
      <w:bookmarkStart w:id="1" w:name="_Toc152579559"/>
      <w:bookmarkStart w:id="2" w:name="_Toc154673405"/>
      <w:bookmarkStart w:id="3" w:name="_Toc184222211"/>
      <w:bookmarkStart w:id="4" w:name="_Hlk121918115"/>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6E6381">
        <w:rPr>
          <w:rFonts w:eastAsia="Aptos"/>
          <w:b/>
          <w:bCs/>
          <w:kern w:val="2"/>
          <w:bdr w:val="none" w:sz="0" w:space="0" w:color="auto"/>
          <w:lang w:val="it-IT"/>
          <w14:ligatures w14:val="standardContextual"/>
        </w:rPr>
        <w:t xml:space="preserve"> 37</w:t>
      </w:r>
      <w:r w:rsidRPr="006E6381">
        <w:rPr>
          <w:rFonts w:eastAsia="Times New Roman"/>
          <w:b/>
          <w:bCs/>
          <w:color w:val="0000FF"/>
          <w:kern w:val="2"/>
          <w:bdr w:val="none" w:sz="0" w:space="0" w:color="auto"/>
          <w:lang w:val="it-IT"/>
          <w14:ligatures w14:val="standardContextual"/>
        </w:rPr>
        <w:t xml:space="preserve"> </w:t>
      </w:r>
      <w:r w:rsidRPr="008270AF">
        <w:rPr>
          <w:rFonts w:eastAsia="Aptos"/>
          <w:kern w:val="2"/>
          <w:bdr w:val="none" w:sz="0" w:space="0" w:color="auto"/>
          <w:lang w:val="it-IT"/>
          <w14:ligatures w14:val="standardContextual"/>
        </w:rPr>
        <w:t>(</w:t>
      </w:r>
      <w:r w:rsidRPr="008270AF">
        <w:rPr>
          <w:rFonts w:eastAsia="Aptos"/>
          <w:i/>
          <w:iCs/>
          <w:kern w:val="2"/>
          <w:bdr w:val="none" w:sz="0" w:space="0" w:color="auto"/>
          <w:lang w:val="it-IT"/>
          <w14:ligatures w14:val="standardContextual"/>
        </w:rPr>
        <w:t>Formazione dei docenti e degli studenti in materia di intelligenza artificiale</w:t>
      </w:r>
      <w:r w:rsidRPr="008270AF">
        <w:rPr>
          <w:rFonts w:eastAsia="Aptos"/>
          <w:kern w:val="2"/>
          <w:bdr w:val="none" w:sz="0" w:space="0" w:color="auto"/>
          <w:lang w:val="it-IT"/>
          <w14:ligatures w14:val="standardContextual"/>
        </w:rPr>
        <w:t>)</w:t>
      </w:r>
      <w:bookmarkEnd w:id="1"/>
      <w:bookmarkEnd w:id="2"/>
      <w:bookmarkEnd w:id="3"/>
      <w:bookmarkEnd w:id="4"/>
      <w:r w:rsidRPr="006E6381">
        <w:rPr>
          <w:rFonts w:eastAsia="Times New Roman"/>
          <w:color w:val="000000"/>
          <w:bdr w:val="none" w:sz="0" w:space="0" w:color="auto"/>
          <w:lang w:val="it-IT" w:eastAsia="it-IT"/>
        </w:rPr>
        <w:t xml:space="preserve">, </w:t>
      </w:r>
      <w:r w:rsidR="00CA0D47" w:rsidRPr="00B37AAD">
        <w:rPr>
          <w:rFonts w:eastAsia="Times New Roman"/>
          <w:color w:val="000000" w:themeColor="text1"/>
          <w:lang w:val="it-IT" w:eastAsia="it-IT"/>
        </w:rPr>
        <w:t xml:space="preserve">in attuazione dell’articolo 24, comma 2, lettera e), della legge n. 132 del 2025, muovono dall’esigenza di accompagnare l’introduzione strutturale dell’intelligenza artificiale nel sistema educativo e formativo. </w:t>
      </w:r>
    </w:p>
    <w:p w14:paraId="0D12ACE4" w14:textId="77777777" w:rsidR="00CA0D47" w:rsidRPr="00B37AAD" w:rsidRDefault="00CA0D47" w:rsidP="00365E22">
      <w:pPr>
        <w:tabs>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 xml:space="preserve">Nel dettaglio, </w:t>
      </w:r>
      <w:r w:rsidRPr="00B37AAD">
        <w:rPr>
          <w:rFonts w:eastAsia="Times New Roman"/>
          <w:b/>
          <w:bCs/>
          <w:color w:val="000000" w:themeColor="text1"/>
          <w:lang w:val="it-IT" w:eastAsia="it-IT"/>
        </w:rPr>
        <w:t>il comma 1</w:t>
      </w:r>
      <w:r w:rsidRPr="00B37AAD">
        <w:rPr>
          <w:rFonts w:eastAsia="Times New Roman"/>
          <w:color w:val="000000" w:themeColor="text1"/>
          <w:lang w:val="it-IT" w:eastAsia="it-IT"/>
        </w:rPr>
        <w:t xml:space="preserve"> demanda a un decreto del Ministro dell’istruzione e del merito la definizione dei criteri e delle modalità di erogazione della formazione, iniziale e in servizio, rivolta al personale docente delle istituzioni scolastiche del sistema nazionale di istruzione e dei Centri provinciali per l’istruzione degli adulti (CPIA).</w:t>
      </w:r>
    </w:p>
    <w:p w14:paraId="207F585C" w14:textId="77777777" w:rsidR="00CA0D47" w:rsidRPr="00B37AAD" w:rsidRDefault="00CA0D47" w:rsidP="00365E22">
      <w:pPr>
        <w:tabs>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 xml:space="preserve">La disposizione, </w:t>
      </w:r>
      <w:r w:rsidRPr="00B37AAD">
        <w:rPr>
          <w:rFonts w:eastAsia="Times New Roman"/>
          <w:b/>
          <w:bCs/>
          <w:color w:val="000000" w:themeColor="text1"/>
          <w:lang w:val="it-IT" w:eastAsia="it-IT"/>
        </w:rPr>
        <w:t>al comma 2,</w:t>
      </w:r>
      <w:r w:rsidRPr="00B37AAD">
        <w:rPr>
          <w:rFonts w:eastAsia="Times New Roman"/>
          <w:color w:val="000000" w:themeColor="text1"/>
          <w:lang w:val="it-IT" w:eastAsia="it-IT"/>
        </w:rPr>
        <w:t xml:space="preserve"> individua specifici obiettivi formativi, volti a garantire lo sviluppo delle competenze del personale docente in materia di utilizzo dei sistemi di intelligenza artificiale, con particolare riferimento alla capacità di progettare attività didattiche innovative e di sviluppare strumenti di valutazione e certificazione delle competenze nell’ambito dell’educazione digitale.</w:t>
      </w:r>
    </w:p>
    <w:p w14:paraId="506D775F" w14:textId="77777777" w:rsidR="00CA0D47" w:rsidRPr="002429C6" w:rsidRDefault="00CA0D47" w:rsidP="00365E22">
      <w:pPr>
        <w:tabs>
          <w:tab w:val="left" w:pos="426"/>
        </w:tabs>
        <w:spacing w:after="60" w:line="276" w:lineRule="auto"/>
        <w:jc w:val="both"/>
        <w:rPr>
          <w:rFonts w:eastAsia="Times New Roman"/>
          <w:b/>
          <w:bCs/>
          <w:lang w:val="it-IT" w:eastAsia="it-IT"/>
        </w:rPr>
      </w:pPr>
      <w:r w:rsidRPr="00B37AAD">
        <w:rPr>
          <w:rFonts w:eastAsia="Times New Roman"/>
          <w:b/>
          <w:bCs/>
          <w:color w:val="000000" w:themeColor="text1"/>
          <w:lang w:val="it-IT" w:eastAsia="it-IT"/>
        </w:rPr>
        <w:t xml:space="preserve">La disposizione non determina nuovi o maggiori oneri a carico della finanza pubblica, in quanto le attività formative ivi previste sono realizzate nell’ambito delle risorse già disponibili a </w:t>
      </w:r>
      <w:r w:rsidRPr="002429C6">
        <w:rPr>
          <w:rFonts w:eastAsia="Times New Roman"/>
          <w:b/>
          <w:bCs/>
          <w:lang w:val="it-IT" w:eastAsia="it-IT"/>
        </w:rPr>
        <w:t xml:space="preserve">legislazione vigente e destinate al Piano nazionale di formazione dei docenti, di cui all’articolo 1, comma 124, della legge 13 luglio 2015, n. 107. </w:t>
      </w:r>
    </w:p>
    <w:p w14:paraId="63FAB209"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Nel rammentare che la formazione in servizio dei docenti di ruolo è obbligatoria, permanente e strutturale e che le attività di formazione sono definite dalle istituzioni scolastiche in coerenza con il Piano triennale dell’offerta formativa e con le priorità del Piano nazionale di formazione, nonché obbligatoria per i docenti nell’anno di formazione e prova, la disposizione si limita a prevedere che i contenuti formativi relativi all’intelligenza artificiale debbano essere ricompresi nell’ambito delle medesime attività formative previste a legislazione vigente.</w:t>
      </w:r>
    </w:p>
    <w:p w14:paraId="238CFE87"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Tanto premesso, e pur ribadendo che la previsione in parola si limita solo a specificare che la formazione somministrata ordinariamente ai docenti dovrà necessariamente tener conto dell’evoluzione delle metodologie didattiche imposte dallo sviluppo dell’intelligenza artificiale, è utile precisare che in questo momento il sistema scolastico sta beneficiando di investimenti rilevanti proprio in ragione dell’attuale fase di transizione digitale. </w:t>
      </w:r>
    </w:p>
    <w:p w14:paraId="730D5329"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lastRenderedPageBreak/>
        <w:t xml:space="preserve">Infatti la formazione in materia di intelligenza artificiale si inserisce nel sistema di interventi già previsto dalla Missione 4 “Istruzione e ricerca” – Componente 1 del PNRR, Investimento 2.1 “Didattica digitale integrata e formazione alla transizione digitale per il personale scolastico”, che promuove, </w:t>
      </w:r>
      <w:r w:rsidRPr="002429C6">
        <w:rPr>
          <w:rFonts w:eastAsia="Times New Roman"/>
          <w:b/>
          <w:bCs/>
          <w:u w:val="single"/>
          <w:lang w:val="it-IT" w:eastAsia="it-IT"/>
        </w:rPr>
        <w:t>attraverso la stanziamento di 800 milioni di euro</w:t>
      </w:r>
      <w:r w:rsidRPr="002429C6">
        <w:rPr>
          <w:rFonts w:eastAsia="Times New Roman"/>
          <w:b/>
          <w:bCs/>
          <w:lang w:val="it-IT" w:eastAsia="it-IT"/>
        </w:rPr>
        <w:t>, il rafforzamento delle competenze digitali del personale scolastico attraverso un sistema strutturato di formazione continua e l’adozione di quadri di riferimento nazionali per la didattica digitale.</w:t>
      </w:r>
    </w:p>
    <w:p w14:paraId="613C4F18"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I percorsi formativi sono stati strutturati sulla base del quadro di riferimento europeo sulle competenze digitali, il </w:t>
      </w:r>
      <w:proofErr w:type="spellStart"/>
      <w:r w:rsidRPr="002429C6">
        <w:rPr>
          <w:rFonts w:eastAsia="Times New Roman"/>
          <w:b/>
          <w:bCs/>
          <w:lang w:val="it-IT" w:eastAsia="it-IT"/>
        </w:rPr>
        <w:t>DigCompEdu</w:t>
      </w:r>
      <w:proofErr w:type="spellEnd"/>
      <w:r w:rsidRPr="002429C6">
        <w:rPr>
          <w:rFonts w:eastAsia="Times New Roman"/>
          <w:b/>
          <w:bCs/>
          <w:lang w:val="it-IT" w:eastAsia="it-IT"/>
        </w:rPr>
        <w:t>, delle 6 aree di competenza:</w:t>
      </w:r>
    </w:p>
    <w:p w14:paraId="61B327A7"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Coinvolgimento e valorizzazione professionale</w:t>
      </w:r>
    </w:p>
    <w:p w14:paraId="31052D00"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Risorse digitali</w:t>
      </w:r>
    </w:p>
    <w:p w14:paraId="2E9C3217"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Pratiche di insegnamento e apprendimento</w:t>
      </w:r>
    </w:p>
    <w:p w14:paraId="393A7512"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Valutazione dell’apprendimento</w:t>
      </w:r>
    </w:p>
    <w:p w14:paraId="12AA0FC7"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Valorizzazione delle potenzialità degli studenti</w:t>
      </w:r>
    </w:p>
    <w:p w14:paraId="212C0FC6"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Favorire lo sviluppo delle competenze digitali degli studenti</w:t>
      </w:r>
    </w:p>
    <w:p w14:paraId="3265E789" w14:textId="77777777" w:rsidR="002429C6" w:rsidRPr="002429C6" w:rsidRDefault="002429C6" w:rsidP="002429C6">
      <w:pPr>
        <w:tabs>
          <w:tab w:val="left" w:pos="426"/>
        </w:tabs>
        <w:spacing w:line="276" w:lineRule="auto"/>
        <w:jc w:val="both"/>
        <w:rPr>
          <w:rFonts w:eastAsia="Times New Roman"/>
          <w:b/>
          <w:bCs/>
          <w:u w:val="single"/>
          <w:lang w:val="it-IT" w:eastAsia="it-IT"/>
        </w:rPr>
      </w:pPr>
      <w:r w:rsidRPr="002429C6">
        <w:rPr>
          <w:rFonts w:eastAsia="Times New Roman"/>
          <w:b/>
          <w:bCs/>
          <w:lang w:val="it-IT" w:eastAsia="it-IT"/>
        </w:rPr>
        <w:t>Nello specifico, sono stati erogati:</w:t>
      </w:r>
    </w:p>
    <w:p w14:paraId="0A704CFD"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131.181 percorsi formativi svolti sulle tematiche della trasformazione digitale nella scuola e nella didattica;</w:t>
      </w:r>
    </w:p>
    <w:p w14:paraId="11462DB3"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909.454 docenti e personale scolastico formato;</w:t>
      </w:r>
    </w:p>
    <w:p w14:paraId="4C53F0D0" w14:textId="77777777" w:rsidR="002429C6" w:rsidRPr="002429C6" w:rsidRDefault="002429C6" w:rsidP="002429C6">
      <w:pPr>
        <w:numPr>
          <w:ilvl w:val="0"/>
          <w:numId w:val="11"/>
        </w:numPr>
        <w:tabs>
          <w:tab w:val="left" w:pos="426"/>
        </w:tabs>
        <w:spacing w:line="276" w:lineRule="auto"/>
        <w:jc w:val="both"/>
        <w:rPr>
          <w:rFonts w:eastAsia="Times New Roman"/>
          <w:b/>
          <w:bCs/>
          <w:lang w:val="it-IT" w:eastAsia="it-IT"/>
        </w:rPr>
      </w:pPr>
      <w:r w:rsidRPr="002429C6">
        <w:rPr>
          <w:rFonts w:eastAsia="Times New Roman"/>
          <w:b/>
          <w:bCs/>
          <w:lang w:val="it-IT" w:eastAsia="it-IT"/>
        </w:rPr>
        <w:t>2.227.996 attestati complessivamente rilasciati dal sistema (il personale scolastico ha svolto, in genere, più percorsi formativi).</w:t>
      </w:r>
    </w:p>
    <w:p w14:paraId="4B4A2BA9" w14:textId="77777777" w:rsidR="002429C6" w:rsidRPr="002429C6" w:rsidRDefault="002429C6" w:rsidP="002429C6">
      <w:pPr>
        <w:tabs>
          <w:tab w:val="left" w:pos="426"/>
        </w:tabs>
        <w:spacing w:line="276" w:lineRule="auto"/>
        <w:ind w:left="2280"/>
        <w:jc w:val="both"/>
        <w:rPr>
          <w:rFonts w:eastAsia="Times New Roman"/>
          <w:b/>
          <w:bCs/>
          <w:lang w:val="it-IT" w:eastAsia="it-IT"/>
        </w:rPr>
      </w:pPr>
    </w:p>
    <w:p w14:paraId="7779D2E6"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In aggiunta a tali interventi, previsti dal PNRR, si fa presente che, proprio di recente (D.M. 10 aprile 2026) </w:t>
      </w:r>
      <w:r w:rsidRPr="002429C6">
        <w:rPr>
          <w:rFonts w:eastAsia="Times New Roman"/>
          <w:b/>
          <w:bCs/>
          <w:u w:val="single"/>
          <w:lang w:val="it-IT" w:eastAsia="it-IT"/>
        </w:rPr>
        <w:t>è stato avviato anche un piano di formazione specifica per i docenti in materia di intelligenza artificiale,  grazie al quale sono stati destinati 100 milioni di euro alle istituzioni scolastiche per la definizione di snodi formativi per la transizione digitale sull’utilizzo dell’intelligenza artificiale nella scuola,</w:t>
      </w:r>
      <w:r w:rsidRPr="002429C6">
        <w:rPr>
          <w:rFonts w:eastAsia="Times New Roman"/>
          <w:b/>
          <w:bCs/>
          <w:lang w:val="it-IT" w:eastAsia="it-IT"/>
        </w:rPr>
        <w:t xml:space="preserve"> per la realizzazione di progetti formativi attraverso percorsi e workshop di formazione e approfondimento e laboratori formativi di ricerca-azione sul campo con l’utilizzo di dispositivi e applicazioni di intelligenza artificiale, anche con il coinvolgimento degli studenti, secondo le “Linee guida per l’introduzione dell’Intelligenza Artificiale nelle scuole”, adottate con decreto del Ministro dell’istruzione e del merito 9 agosto 2025, n. 166.</w:t>
      </w:r>
    </w:p>
    <w:p w14:paraId="179CBFF6"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Quanto alla sussistenza di idonee strumentazioni utili a supportare la formazione dei docenti nel campo del digitale e dell’IA e ad assicurare la stessa attività didattica a beneficio dei </w:t>
      </w:r>
      <w:proofErr w:type="spellStart"/>
      <w:r w:rsidRPr="002429C6">
        <w:rPr>
          <w:rFonts w:eastAsia="Times New Roman"/>
          <w:b/>
          <w:bCs/>
          <w:lang w:val="it-IT" w:eastAsia="it-IT"/>
        </w:rPr>
        <w:t>doeenti</w:t>
      </w:r>
      <w:proofErr w:type="spellEnd"/>
      <w:r w:rsidRPr="002429C6">
        <w:rPr>
          <w:rFonts w:eastAsia="Times New Roman"/>
          <w:b/>
          <w:bCs/>
          <w:lang w:val="it-IT" w:eastAsia="it-IT"/>
        </w:rPr>
        <w:t>, si fa presente quanto segue.</w:t>
      </w:r>
    </w:p>
    <w:p w14:paraId="737D0453"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Preliminarmente si fa presente che una specifica azione del PNRR (Scuola 4.0 e formazione su digitale), in via di conclusione, ha già previsto un investimento straordinario, e strutturale, per adeguare, in via generale le dotazioni informatiche del nostro sistema educativo.</w:t>
      </w:r>
    </w:p>
    <w:p w14:paraId="1E1BDAB1"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Nell’ambito di tale misura sono stati previsti 2,1 miliardi per la trasformazione delle aule didattiche tradizionali in ambienti di apprendimento innovativi e con dotazioni digitali. </w:t>
      </w:r>
    </w:p>
    <w:p w14:paraId="2DA17991"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In particolare, la misura ha interessato:</w:t>
      </w:r>
    </w:p>
    <w:p w14:paraId="26C16B2C" w14:textId="77777777" w:rsidR="002429C6" w:rsidRPr="002429C6" w:rsidRDefault="002429C6" w:rsidP="002429C6">
      <w:pPr>
        <w:pStyle w:val="Paragrafoelenco"/>
        <w:numPr>
          <w:ilvl w:val="0"/>
          <w:numId w:val="11"/>
        </w:numPr>
        <w:tabs>
          <w:tab w:val="left" w:pos="426"/>
        </w:tabs>
        <w:spacing w:line="276" w:lineRule="auto"/>
        <w:ind w:left="426"/>
        <w:jc w:val="both"/>
        <w:rPr>
          <w:rFonts w:eastAsia="Times New Roman"/>
          <w:b/>
          <w:bCs/>
          <w:lang w:val="it-IT" w:eastAsia="it-IT"/>
        </w:rPr>
      </w:pPr>
      <w:r w:rsidRPr="002429C6">
        <w:rPr>
          <w:rFonts w:eastAsia="Times New Roman"/>
          <w:b/>
          <w:bCs/>
          <w:lang w:val="it-IT" w:eastAsia="it-IT"/>
        </w:rPr>
        <w:t>146.743 aule trasformate in ambienti di apprendimenti innovativi;</w:t>
      </w:r>
    </w:p>
    <w:p w14:paraId="65393300" w14:textId="77777777" w:rsidR="002429C6" w:rsidRPr="002429C6" w:rsidRDefault="002429C6" w:rsidP="002429C6">
      <w:pPr>
        <w:pStyle w:val="Paragrafoelenco"/>
        <w:numPr>
          <w:ilvl w:val="0"/>
          <w:numId w:val="11"/>
        </w:numPr>
        <w:tabs>
          <w:tab w:val="left" w:pos="426"/>
        </w:tabs>
        <w:spacing w:line="276" w:lineRule="auto"/>
        <w:ind w:left="426"/>
        <w:jc w:val="both"/>
        <w:rPr>
          <w:rFonts w:eastAsia="Times New Roman"/>
          <w:b/>
          <w:bCs/>
          <w:lang w:val="it-IT" w:eastAsia="it-IT"/>
        </w:rPr>
      </w:pPr>
      <w:r w:rsidRPr="002429C6">
        <w:rPr>
          <w:rFonts w:eastAsia="Times New Roman"/>
          <w:b/>
          <w:bCs/>
          <w:lang w:val="it-IT" w:eastAsia="it-IT"/>
        </w:rPr>
        <w:t>7.698 laboratori per le professioni digitali realizzati.</w:t>
      </w:r>
    </w:p>
    <w:p w14:paraId="5E6673CB" w14:textId="77777777" w:rsidR="002429C6" w:rsidRPr="002429C6" w:rsidRDefault="002429C6" w:rsidP="002429C6">
      <w:pPr>
        <w:tabs>
          <w:tab w:val="left" w:pos="426"/>
        </w:tabs>
        <w:spacing w:line="276" w:lineRule="auto"/>
        <w:jc w:val="both"/>
        <w:rPr>
          <w:rFonts w:eastAsia="Times New Roman"/>
          <w:b/>
          <w:bCs/>
          <w:lang w:val="it-IT" w:eastAsia="it-IT"/>
        </w:rPr>
      </w:pPr>
    </w:p>
    <w:p w14:paraId="1B75290F"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lastRenderedPageBreak/>
        <w:t>In aggiunta a tali azioni, con D.M n. 38 del 6 marzo 2026, è stato avviato un ulteriore piano di potenziamento delle dotazioni tecnologiche e digitali delle istituzioni scolastiche volto a rafforzare le attività formative nel contesto digitale e l’innovazione tecnologica.</w:t>
      </w:r>
    </w:p>
    <w:p w14:paraId="78B4F704"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Il piano, che ammonta complessivamente a oltre 281 milioni di euro, è suddiviso in due linee di intervento:</w:t>
      </w:r>
    </w:p>
    <w:p w14:paraId="51755B19" w14:textId="77777777" w:rsidR="002429C6" w:rsidRPr="002429C6" w:rsidRDefault="002429C6" w:rsidP="002429C6">
      <w:pPr>
        <w:numPr>
          <w:ilvl w:val="0"/>
          <w:numId w:val="12"/>
        </w:numPr>
        <w:tabs>
          <w:tab w:val="left" w:pos="426"/>
        </w:tabs>
        <w:spacing w:line="276" w:lineRule="auto"/>
        <w:jc w:val="both"/>
        <w:rPr>
          <w:rFonts w:eastAsia="Times New Roman"/>
          <w:b/>
          <w:bCs/>
          <w:lang w:val="it-IT" w:eastAsia="it-IT"/>
        </w:rPr>
      </w:pPr>
      <w:r w:rsidRPr="002429C6">
        <w:rPr>
          <w:rFonts w:eastAsia="Times New Roman"/>
          <w:b/>
          <w:bCs/>
          <w:lang w:val="it-IT" w:eastAsia="it-IT"/>
        </w:rPr>
        <w:t xml:space="preserve">Formazione Professionale (€161,1 milioni): Finanziamento per percorsi formativi (da 30 o 60 ore) destinati a docenti e personale educativo di ruolo e precario. I corsi riguardano competenze digitali, metodologie didattiche e inclusione. </w:t>
      </w:r>
    </w:p>
    <w:p w14:paraId="1E34B7A9" w14:textId="77777777" w:rsidR="002429C6" w:rsidRPr="002429C6" w:rsidRDefault="002429C6" w:rsidP="002429C6">
      <w:pPr>
        <w:numPr>
          <w:ilvl w:val="0"/>
          <w:numId w:val="12"/>
        </w:numPr>
        <w:tabs>
          <w:tab w:val="left" w:pos="426"/>
        </w:tabs>
        <w:spacing w:line="276" w:lineRule="auto"/>
        <w:jc w:val="both"/>
        <w:rPr>
          <w:rFonts w:eastAsia="Times New Roman"/>
          <w:b/>
          <w:bCs/>
          <w:lang w:val="it-IT" w:eastAsia="it-IT"/>
        </w:rPr>
      </w:pPr>
      <w:r w:rsidRPr="002429C6">
        <w:rPr>
          <w:rFonts w:eastAsia="Times New Roman"/>
          <w:b/>
          <w:bCs/>
          <w:lang w:val="it-IT" w:eastAsia="it-IT"/>
        </w:rPr>
        <w:t>Tecnologia in Comodato (€120 milioni): Risorse destinate all'acquisto di tablet, PC, libri e altri sussidi digitali da fornire in comodato d'uso gratuito al personale scolastico per esigenze di servizio</w:t>
      </w:r>
    </w:p>
    <w:p w14:paraId="67767F3F" w14:textId="77777777" w:rsidR="002429C6" w:rsidRPr="002429C6" w:rsidRDefault="002429C6" w:rsidP="002429C6">
      <w:pPr>
        <w:tabs>
          <w:tab w:val="left" w:pos="426"/>
        </w:tabs>
        <w:spacing w:line="276" w:lineRule="auto"/>
        <w:jc w:val="both"/>
        <w:rPr>
          <w:rFonts w:eastAsia="Times New Roman"/>
          <w:b/>
          <w:bCs/>
          <w:lang w:val="it-IT" w:eastAsia="it-IT"/>
        </w:rPr>
      </w:pPr>
      <w:r w:rsidRPr="002429C6">
        <w:rPr>
          <w:rFonts w:eastAsia="Times New Roman"/>
          <w:b/>
          <w:bCs/>
          <w:lang w:val="it-IT" w:eastAsia="it-IT"/>
        </w:rPr>
        <w:t>In particolare, con la seconda linea d’intervento citata, si consente l’acquisto, da parte delle istituzioni scolastiche, di PC, tablet, dispositivi digitali da dare in comodato d’uso ai docenti e al personale ATA in modo da contribuire a rafforzare ulteriormente le attività formative e l’innovazione tecnologica.</w:t>
      </w:r>
    </w:p>
    <w:p w14:paraId="152267F4" w14:textId="77777777" w:rsidR="002429C6" w:rsidRPr="00B37AAD" w:rsidRDefault="002429C6" w:rsidP="00365E22">
      <w:pPr>
        <w:tabs>
          <w:tab w:val="left" w:pos="426"/>
        </w:tabs>
        <w:spacing w:after="60" w:line="276" w:lineRule="auto"/>
        <w:jc w:val="both"/>
        <w:rPr>
          <w:rFonts w:eastAsia="Times New Roman"/>
          <w:b/>
          <w:bCs/>
          <w:color w:val="000000" w:themeColor="text1"/>
          <w:lang w:val="it-IT" w:eastAsia="it-IT"/>
        </w:rPr>
      </w:pPr>
    </w:p>
    <w:p w14:paraId="128948F6" w14:textId="77777777"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Pertanto, l’attuazione delle misure avviene mediante l’utilizzo delle risorse umane, strumentali e finanziarie già previste a legislazione vigente, senza necessità di ulteriori stanziamenti o incrementi di spesa.</w:t>
      </w:r>
    </w:p>
    <w:p w14:paraId="37C0C9DA" w14:textId="77777777"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Il </w:t>
      </w:r>
      <w:r w:rsidRPr="00B37AAD">
        <w:rPr>
          <w:rFonts w:eastAsia="Times New Roman"/>
          <w:b/>
          <w:bCs/>
          <w:color w:val="000000" w:themeColor="text1"/>
          <w:lang w:val="it-IT" w:eastAsia="it-IT"/>
        </w:rPr>
        <w:t>comma 3</w:t>
      </w:r>
      <w:r w:rsidRPr="00B37AAD">
        <w:rPr>
          <w:rFonts w:eastAsia="Times New Roman"/>
          <w:color w:val="000000" w:themeColor="text1"/>
          <w:lang w:val="it-IT" w:eastAsia="it-IT"/>
        </w:rPr>
        <w:t xml:space="preserve"> prevede che il medesimo decreto di cui al comma 1 definisca altresì criteri e interventi finalizzati a promuovere l’alfabetizzazione digitale e lo sviluppo di competenze trasversali connesse all’intelligenza artificiale negli studenti, ivi inclusa la comprensione dei principi di funzionamento, delle potenzialità e dei limiti dei sistemi algoritmici.</w:t>
      </w:r>
    </w:p>
    <w:p w14:paraId="7A0C8AC8" w14:textId="77777777" w:rsidR="00CA0D47" w:rsidRPr="00B37AAD" w:rsidRDefault="00CA0D47" w:rsidP="00365E22">
      <w:pPr>
        <w:tabs>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La disposizione si colloca nell’ambito della competenza digitale già prevista dall’ordinamento vigente e dalle Indicazioni nazionali per il curricolo della scuola dell’infanzia e del primo ciclo, che ricomprendono la promozione di competenze atte a consentire un uso consapevole, sicuro e responsabile delle tecnologie digitali, in coerenza con le Raccomandazioni europee in materia di competenze chiave per l’apprendimento permanente.  La promozione delle competenze digitali avviene nell’ambito delle ordinarie attività didattiche e dei curricoli vigenti, anche attraverso l’utilizzo di strumenti digitali e, ove opportuno, di sistemi basati su intelligenza artificiale, già ricompresi nelle ordinarie dotazioni e metodologie didattiche.</w:t>
      </w:r>
    </w:p>
    <w:p w14:paraId="4E350BA6" w14:textId="77777777" w:rsidR="00CA0D47" w:rsidRPr="00B37AAD" w:rsidRDefault="00CA0D47" w:rsidP="00365E22">
      <w:pPr>
        <w:tabs>
          <w:tab w:val="left" w:pos="426"/>
        </w:tabs>
        <w:spacing w:after="60" w:line="276" w:lineRule="auto"/>
        <w:jc w:val="both"/>
        <w:rPr>
          <w:rFonts w:eastAsia="Times New Roman"/>
          <w:color w:val="000000" w:themeColor="text1"/>
          <w:lang w:val="it-IT" w:eastAsia="it-IT"/>
        </w:rPr>
      </w:pPr>
      <w:r w:rsidRPr="00B37AAD">
        <w:rPr>
          <w:rFonts w:eastAsia="Times New Roman"/>
          <w:color w:val="000000" w:themeColor="text1"/>
          <w:lang w:val="it-IT" w:eastAsia="it-IT"/>
        </w:rPr>
        <w:t>La disposizione in esame si coordina, inoltre, con le nuove Indicazioni nazionali per i licei in corso di definizione, le quali valorizzano l’educazione all’uso consapevole delle tecnologie digitali e dei sistemi di intelligenza artificiale come parte integrante della formazione culturale degli studenti, nel quadro degli obiettivi di sviluppo del pensiero critico e delle competenze matematiche e logiche.</w:t>
      </w:r>
    </w:p>
    <w:p w14:paraId="640CB5D8" w14:textId="77777777"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 xml:space="preserve">L’intervento si configura come attuazione e sistematizzazione di attività già ricomprese nei vigenti ordinamenti didattici, senza necessità di ulteriori stanziamenti o incrementi di spesa. La disposizione, pertanto, non comporta nuovi o maggiori oneri per la finanza pubblica, in quanto le attività previste sono realizzate nell’ambito delle risorse umane, strumentali e finanziarie già disponibili a legislazione vigente. </w:t>
      </w:r>
    </w:p>
    <w:p w14:paraId="56A917CD" w14:textId="77777777"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Il </w:t>
      </w:r>
      <w:r w:rsidRPr="00B37AAD">
        <w:rPr>
          <w:rFonts w:eastAsia="Times New Roman"/>
          <w:b/>
          <w:bCs/>
          <w:color w:val="000000" w:themeColor="text1"/>
          <w:lang w:val="it-IT" w:eastAsia="it-IT"/>
        </w:rPr>
        <w:t>comma 4</w:t>
      </w:r>
      <w:r w:rsidRPr="00B37AAD">
        <w:rPr>
          <w:rFonts w:eastAsia="Times New Roman"/>
          <w:color w:val="000000" w:themeColor="text1"/>
          <w:lang w:val="it-IT" w:eastAsia="it-IT"/>
        </w:rPr>
        <w:t xml:space="preserve"> stabilisce che, nelle more dell’adozione del decreto ministeriale di cui al comma 1, continuano ad applicarsi le Linee guida per l’introduzione dell’intelligenza artificiale nelle istituzioni scolastiche, adottate con decreto del Ministro dell’istruzione e del merito n. 166 del 9 agosto 2025, al </w:t>
      </w:r>
      <w:r w:rsidRPr="00B37AAD">
        <w:rPr>
          <w:rFonts w:eastAsia="Times New Roman"/>
          <w:color w:val="000000" w:themeColor="text1"/>
          <w:lang w:val="it-IT" w:eastAsia="it-IT"/>
        </w:rPr>
        <w:lastRenderedPageBreak/>
        <w:t>fine di garantire la continuità del quadro regolatorio e la coerenza nell’attuazione delle misure previste.</w:t>
      </w:r>
    </w:p>
    <w:p w14:paraId="300308BD" w14:textId="77777777"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b/>
          <w:bCs/>
          <w:color w:val="000000" w:themeColor="text1"/>
          <w:lang w:val="it-IT" w:eastAsia="it-IT"/>
        </w:rPr>
        <w:t>La disposizione non determina nuovi o maggiori oneri a carico della finanza pubblica, in quanto le amministrazioni interessate provvedono ai relativi adempimenti nell’ambito delle risorse umane, strumentali e finanziarie già disponibili a legislazione vigente e già finalizzate alle attività di attuazione delle politiche di innovazione digitale nel sistema nazionale di istruzione.</w:t>
      </w:r>
    </w:p>
    <w:p w14:paraId="7F72F866" w14:textId="5F6C2C33" w:rsidR="00CA0D47" w:rsidRPr="00B37AAD" w:rsidRDefault="00CA0D47" w:rsidP="00365E22">
      <w:pPr>
        <w:tabs>
          <w:tab w:val="left" w:pos="426"/>
        </w:tabs>
        <w:spacing w:after="60" w:line="276" w:lineRule="auto"/>
        <w:jc w:val="both"/>
        <w:rPr>
          <w:rFonts w:eastAsia="Times New Roman"/>
          <w:b/>
          <w:bCs/>
          <w:color w:val="000000" w:themeColor="text1"/>
          <w:lang w:val="it-IT" w:eastAsia="it-IT"/>
        </w:rPr>
      </w:pPr>
      <w:r w:rsidRPr="00B37AAD">
        <w:rPr>
          <w:rFonts w:eastAsia="Times New Roman"/>
          <w:color w:val="000000" w:themeColor="text1"/>
          <w:lang w:val="it-IT" w:eastAsia="it-IT"/>
        </w:rPr>
        <w:t xml:space="preserve">Il </w:t>
      </w:r>
      <w:r w:rsidRPr="00B37AAD">
        <w:rPr>
          <w:rFonts w:eastAsia="Times New Roman"/>
          <w:b/>
          <w:bCs/>
          <w:color w:val="000000" w:themeColor="text1"/>
          <w:lang w:val="it-IT" w:eastAsia="it-IT"/>
        </w:rPr>
        <w:t xml:space="preserve">comma 5 </w:t>
      </w:r>
      <w:r w:rsidRPr="00B37AAD">
        <w:rPr>
          <w:rFonts w:eastAsia="Times New Roman"/>
          <w:color w:val="000000" w:themeColor="text1"/>
          <w:lang w:val="it-IT" w:eastAsia="it-IT"/>
        </w:rPr>
        <w:t xml:space="preserve">prevede, inoltre, che gli Uffici scolastici regionali possano promuovere l’istituzione di comitati tecnico-etici territoriali, operanti mediante reti di istituzioni scolastiche del medesimo ambito, con compiti di indirizzo e coordinamento pedagogico, supporto alla sperimentazione didattica e presidio dei profili connessi alla protezione dei dati e alla tutela dei diritti fondamentali. </w:t>
      </w:r>
      <w:r w:rsidRPr="00B37AAD">
        <w:rPr>
          <w:rFonts w:eastAsia="Times New Roman"/>
          <w:b/>
          <w:bCs/>
          <w:color w:val="000000" w:themeColor="text1"/>
          <w:lang w:val="it-IT" w:eastAsia="it-IT"/>
        </w:rPr>
        <w:t>La previsione non introduce nuovi livelli burocratici, ma configura un ambito di raccordo e accompagnamento, volto a sostenere in modo coordinato e responsabile l’attuazione dell’intelligenza artificiale nel sistema nazionale di istruzione. La disposizione non comporta nuovi o maggiori oneri a carico della finanza pubblica, in quanto</w:t>
      </w:r>
      <w:r w:rsidRPr="00B37AAD">
        <w:rPr>
          <w:rFonts w:eastAsia="Times New Roman"/>
          <w:color w:val="000000" w:themeColor="text1"/>
          <w:kern w:val="2"/>
          <w:lang w:val="it-IT" w:eastAsia="it-IT"/>
        </w:rPr>
        <w:t xml:space="preserve"> </w:t>
      </w:r>
      <w:r w:rsidRPr="00B37AAD">
        <w:rPr>
          <w:rFonts w:eastAsia="Times New Roman"/>
          <w:b/>
          <w:bCs/>
          <w:color w:val="000000" w:themeColor="text1"/>
          <w:lang w:val="it-IT" w:eastAsia="it-IT"/>
        </w:rPr>
        <w:t>le Regioni sono facoltizzate a intervenire in questa materia, eventualmente impiegando le risorse umane, strumentali e finanziarie già stanziate per la formazione professionale a legislazione vigente.</w:t>
      </w:r>
      <w:r w:rsidRPr="00B37AAD">
        <w:rPr>
          <w:b/>
          <w:bCs/>
          <w:color w:val="0000FF"/>
          <w:lang w:val="it-IT"/>
        </w:rPr>
        <w:t xml:space="preserve"> </w:t>
      </w:r>
    </w:p>
    <w:p w14:paraId="78B054AA" w14:textId="77777777" w:rsidR="00CA0D47" w:rsidRPr="00B37AAD" w:rsidRDefault="00CA0D47" w:rsidP="00365E22">
      <w:pPr>
        <w:tabs>
          <w:tab w:val="num" w:pos="284"/>
          <w:tab w:val="left" w:pos="426"/>
        </w:tabs>
        <w:spacing w:after="60" w:line="276" w:lineRule="auto"/>
        <w:jc w:val="both"/>
        <w:rPr>
          <w:rFonts w:eastAsia="Times New Roman"/>
          <w:color w:val="000000" w:themeColor="text1"/>
          <w:kern w:val="2"/>
          <w:lang w:val="it-IT" w:eastAsia="it-IT"/>
        </w:rPr>
      </w:pPr>
      <w:r w:rsidRPr="00B37AAD">
        <w:rPr>
          <w:rFonts w:eastAsia="Times New Roman"/>
          <w:color w:val="000000" w:themeColor="text1"/>
          <w:kern w:val="2"/>
          <w:lang w:val="it-IT" w:eastAsia="it-IT"/>
        </w:rPr>
        <w:t xml:space="preserve">Il </w:t>
      </w:r>
      <w:r w:rsidRPr="00B37AAD">
        <w:rPr>
          <w:rFonts w:eastAsia="Times New Roman"/>
          <w:b/>
          <w:bCs/>
          <w:color w:val="000000" w:themeColor="text1"/>
          <w:kern w:val="2"/>
          <w:lang w:val="it-IT" w:eastAsia="it-IT"/>
        </w:rPr>
        <w:t xml:space="preserve">comma 6 </w:t>
      </w:r>
      <w:r w:rsidRPr="00B37AAD">
        <w:rPr>
          <w:rFonts w:eastAsia="Times New Roman"/>
          <w:color w:val="000000" w:themeColor="text1"/>
          <w:kern w:val="2"/>
          <w:lang w:val="it-IT" w:eastAsia="it-IT"/>
        </w:rPr>
        <w:t>prevede che le Regioni, nell’esercizio della loro competenza legislativa in materia di istruzione e formazione professionale e nell’organizzazione del relativo servizio, possano favorire l’ampliamento dell’offerta formativa finalizzato alla comprensione tecnica dei sistemi di intelligenza artificiale, al loro utilizzo sicuro e consapevole e alla corretta interpretazione dei risultati degli stessi.</w:t>
      </w:r>
    </w:p>
    <w:p w14:paraId="1FAD0874" w14:textId="77777777" w:rsidR="00CA0D47" w:rsidRDefault="00CA0D47" w:rsidP="00365E22">
      <w:pPr>
        <w:tabs>
          <w:tab w:val="num" w:pos="284"/>
          <w:tab w:val="left" w:pos="426"/>
        </w:tabs>
        <w:spacing w:after="60" w:line="276" w:lineRule="auto"/>
        <w:jc w:val="both"/>
        <w:rPr>
          <w:rFonts w:eastAsia="Times New Roman"/>
          <w:color w:val="000000" w:themeColor="text1"/>
          <w:kern w:val="2"/>
          <w:lang w:val="it-IT" w:eastAsia="it-IT"/>
        </w:rPr>
      </w:pPr>
      <w:r w:rsidRPr="00B37AAD">
        <w:rPr>
          <w:rFonts w:eastAsia="Times New Roman"/>
          <w:color w:val="000000" w:themeColor="text1"/>
          <w:kern w:val="2"/>
          <w:lang w:val="it-IT" w:eastAsia="it-IT"/>
        </w:rPr>
        <w:t xml:space="preserve">Il </w:t>
      </w:r>
      <w:r w:rsidRPr="00B37AAD">
        <w:rPr>
          <w:rFonts w:eastAsia="Times New Roman"/>
          <w:b/>
          <w:bCs/>
          <w:color w:val="000000" w:themeColor="text1"/>
          <w:kern w:val="2"/>
          <w:lang w:val="it-IT" w:eastAsia="it-IT"/>
        </w:rPr>
        <w:t>comma 7</w:t>
      </w:r>
      <w:r w:rsidRPr="00B37AAD">
        <w:rPr>
          <w:rFonts w:eastAsia="Times New Roman"/>
          <w:color w:val="000000" w:themeColor="text1"/>
          <w:kern w:val="2"/>
          <w:lang w:val="it-IT" w:eastAsia="it-IT"/>
        </w:rPr>
        <w:t xml:space="preserve"> </w:t>
      </w:r>
      <w:r w:rsidRPr="00B37AAD">
        <w:rPr>
          <w:rFonts w:eastAsia="Times New Roman"/>
          <w:b/>
          <w:bCs/>
          <w:color w:val="000000" w:themeColor="text1"/>
          <w:kern w:val="2"/>
          <w:lang w:val="it-IT" w:eastAsia="it-IT"/>
        </w:rPr>
        <w:t>reca la</w:t>
      </w:r>
      <w:r w:rsidRPr="00B37AAD">
        <w:rPr>
          <w:rFonts w:eastAsia="Times New Roman"/>
          <w:color w:val="000000" w:themeColor="text1"/>
          <w:kern w:val="2"/>
          <w:lang w:val="it-IT" w:eastAsia="it-IT"/>
        </w:rPr>
        <w:t xml:space="preserve"> </w:t>
      </w:r>
      <w:r w:rsidRPr="00B37AAD">
        <w:rPr>
          <w:rFonts w:eastAsia="Times New Roman"/>
          <w:b/>
          <w:bCs/>
          <w:color w:val="000000" w:themeColor="text1"/>
          <w:kern w:val="2"/>
          <w:lang w:val="it-IT" w:eastAsia="it-IT"/>
        </w:rPr>
        <w:t>clausola di invarianza finanziaria, precisando che alle attività di cui al presente articolo si provvede nei limiti delle risorse umane, strumentali e finanziarie disponibili a legislazione vigente, senza nuovi o ulteriori oneri a carico della finanza pubblica</w:t>
      </w:r>
      <w:r w:rsidRPr="00B37AAD">
        <w:rPr>
          <w:rFonts w:eastAsia="Times New Roman"/>
          <w:color w:val="000000" w:themeColor="text1"/>
          <w:kern w:val="2"/>
          <w:lang w:val="it-IT" w:eastAsia="it-IT"/>
        </w:rPr>
        <w:t>.</w:t>
      </w:r>
    </w:p>
    <w:p w14:paraId="0C740438" w14:textId="77777777" w:rsidR="0054307E" w:rsidRPr="00B37AAD" w:rsidRDefault="0054307E" w:rsidP="00365E22">
      <w:pPr>
        <w:tabs>
          <w:tab w:val="num" w:pos="284"/>
          <w:tab w:val="left" w:pos="426"/>
        </w:tabs>
        <w:spacing w:after="60" w:line="276" w:lineRule="auto"/>
        <w:jc w:val="both"/>
        <w:rPr>
          <w:rFonts w:eastAsia="Times New Roman"/>
          <w:color w:val="000000" w:themeColor="text1"/>
          <w:kern w:val="2"/>
          <w:lang w:val="it-IT" w:eastAsia="it-IT"/>
        </w:rPr>
      </w:pPr>
    </w:p>
    <w:p w14:paraId="03BFB667" w14:textId="5126B2A0" w:rsidR="00CA0D47" w:rsidRPr="00B37AAD" w:rsidRDefault="0054307E" w:rsidP="00365E22">
      <w:pPr>
        <w:tabs>
          <w:tab w:val="left" w:pos="426"/>
        </w:tabs>
        <w:spacing w:after="60" w:line="276" w:lineRule="auto"/>
        <w:jc w:val="both"/>
        <w:rPr>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Pr>
          <w:rFonts w:eastAsia="Aptos"/>
          <w:b/>
          <w:bCs/>
          <w:kern w:val="2"/>
          <w:bdr w:val="none" w:sz="0" w:space="0" w:color="auto"/>
          <w:lang w:val="it-IT"/>
          <w14:ligatures w14:val="standardContextual"/>
        </w:rPr>
        <w:t>38</w:t>
      </w:r>
      <w:r w:rsidRPr="00107E5A">
        <w:rPr>
          <w:rFonts w:eastAsia="Aptos"/>
          <w:b/>
          <w:bCs/>
          <w:color w:val="0000FF"/>
          <w:kern w:val="2"/>
          <w:bdr w:val="none" w:sz="0" w:space="0" w:color="auto"/>
          <w:lang w:val="it-IT"/>
          <w14:ligatures w14:val="standardContextual"/>
        </w:rPr>
        <w:t xml:space="preserve"> </w:t>
      </w:r>
      <w:r w:rsidRPr="008270AF">
        <w:rPr>
          <w:rFonts w:eastAsia="Aptos"/>
          <w:kern w:val="2"/>
          <w:bdr w:val="none" w:sz="0" w:space="0" w:color="auto"/>
          <w:lang w:val="it-IT"/>
          <w14:ligatures w14:val="standardContextual"/>
        </w:rPr>
        <w:t>(</w:t>
      </w:r>
      <w:r w:rsidRPr="008270AF">
        <w:rPr>
          <w:rFonts w:eastAsia="Aptos"/>
          <w:i/>
          <w:iCs/>
          <w:kern w:val="2"/>
          <w:bdr w:val="none" w:sz="0" w:space="0" w:color="auto"/>
          <w:lang w:val="it-IT"/>
          <w14:ligatures w14:val="standardContextual"/>
        </w:rPr>
        <w:t>Alfabetizzazione degli adulti all’ utilizzo dei sistemi di intelligenza artificiale</w:t>
      </w:r>
      <w:r w:rsidRPr="008270AF">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Pr>
          <w:rFonts w:eastAsia="Aptos"/>
          <w:bdr w:val="none" w:sz="0" w:space="0" w:color="auto"/>
          <w:lang w:val="it-IT"/>
          <w14:ligatures w14:val="standardContextual"/>
        </w:rPr>
        <w:t xml:space="preserve">dà </w:t>
      </w:r>
      <w:r w:rsidRPr="00107E5A">
        <w:rPr>
          <w:rFonts w:eastAsia="Aptos"/>
          <w:bdr w:val="none" w:sz="0" w:space="0" w:color="auto"/>
          <w:lang w:val="it-IT"/>
          <w14:ligatures w14:val="standardContextual"/>
        </w:rPr>
        <w:t xml:space="preserve"> </w:t>
      </w:r>
      <w:r w:rsidR="00CA0D47" w:rsidRPr="00B37AAD">
        <w:rPr>
          <w:lang w:val="it-IT"/>
        </w:rPr>
        <w:t>attuazione all’articolo 24, comma 2, lettera e), della legge 23 settembre 2025, n. 132, promuovendo interventi strutturati di alfabetizzazione e formazione degli adulti in materia di sistemi di intelligenza artificiale.</w:t>
      </w:r>
    </w:p>
    <w:p w14:paraId="6CC53F05" w14:textId="77777777" w:rsidR="00CA0D47" w:rsidRPr="00B37AAD" w:rsidRDefault="00CA0D47" w:rsidP="00365E22">
      <w:pPr>
        <w:tabs>
          <w:tab w:val="left" w:pos="426"/>
        </w:tabs>
        <w:spacing w:after="60" w:line="276" w:lineRule="auto"/>
        <w:jc w:val="both"/>
        <w:rPr>
          <w:lang w:val="it-IT"/>
        </w:rPr>
      </w:pPr>
      <w:r w:rsidRPr="00B37AAD">
        <w:rPr>
          <w:lang w:val="it-IT"/>
        </w:rPr>
        <w:t xml:space="preserve">In particolare, il </w:t>
      </w:r>
      <w:r w:rsidRPr="00B37AAD">
        <w:rPr>
          <w:b/>
          <w:bCs/>
          <w:lang w:val="it-IT"/>
        </w:rPr>
        <w:t>comma 1</w:t>
      </w:r>
      <w:r w:rsidRPr="00B37AAD">
        <w:rPr>
          <w:lang w:val="it-IT"/>
        </w:rPr>
        <w:t xml:space="preserve"> attribuisce ai Centri provinciali per l’istruzione degli adulti (CPIA) il compito di attivare, nell’esercizio della propria autonomia, percorsi di ampliamento dell’offerta formativa finalizzati all’acquisizione di conoscenze e competenze, sia teoriche sia operative, relative all’utilizzo dei sistemi di intelligenza artificiale. Tali percorsi prevedono la valorizzazione delle competenze comunque acquisite in contesti non formali e informali, attraverso modalità di accertamento in ingresso, nonché la definizione di criteri per il riconoscimento delle competenze maturate al termine delle attività formative, in coerenza con l’ordinamento dell’istruzione degli adulti di cui al decreto del Presidente della Repubblica 29 ottobre 2012, n. 263. </w:t>
      </w:r>
    </w:p>
    <w:p w14:paraId="660F8618" w14:textId="77777777" w:rsidR="00CA0D47" w:rsidRPr="00B37AAD" w:rsidRDefault="00CA0D47" w:rsidP="00365E22">
      <w:pPr>
        <w:tabs>
          <w:tab w:val="left" w:pos="426"/>
        </w:tabs>
        <w:spacing w:after="60" w:line="276" w:lineRule="auto"/>
        <w:jc w:val="both"/>
        <w:rPr>
          <w:lang w:val="it-IT"/>
        </w:rPr>
      </w:pPr>
      <w:r w:rsidRPr="00B37AAD">
        <w:rPr>
          <w:lang w:val="it-IT"/>
        </w:rPr>
        <w:t xml:space="preserve">Il </w:t>
      </w:r>
      <w:r w:rsidRPr="00B37AAD">
        <w:rPr>
          <w:b/>
          <w:bCs/>
          <w:lang w:val="it-IT"/>
        </w:rPr>
        <w:t>comma 2</w:t>
      </w:r>
      <w:r w:rsidRPr="00B37AAD">
        <w:rPr>
          <w:lang w:val="it-IT"/>
        </w:rPr>
        <w:t xml:space="preserve"> individua le finalità dei percorsi, orientati allo sviluppo di competenze in materia di intelligenza artificiale per un utilizzo consapevole, responsabile ed etico dei relativi sistemi, nel rispetto della normativa nazionale ed europea vigente. È altresì previsto l’impiego di piattaforme e strumenti digitali basati su sistemi di intelligenza artificiale.</w:t>
      </w:r>
    </w:p>
    <w:p w14:paraId="7C983A7B" w14:textId="77777777" w:rsidR="00CA0D47" w:rsidRPr="004E716D" w:rsidRDefault="00CA0D47" w:rsidP="00365E22">
      <w:pPr>
        <w:tabs>
          <w:tab w:val="left" w:pos="426"/>
        </w:tabs>
        <w:spacing w:after="60" w:line="276" w:lineRule="auto"/>
        <w:jc w:val="both"/>
        <w:rPr>
          <w:lang w:val="it-IT"/>
        </w:rPr>
      </w:pPr>
      <w:r w:rsidRPr="00B37AAD">
        <w:rPr>
          <w:lang w:val="it-IT"/>
        </w:rPr>
        <w:t xml:space="preserve">Il </w:t>
      </w:r>
      <w:r w:rsidRPr="00B37AAD">
        <w:rPr>
          <w:b/>
          <w:bCs/>
          <w:lang w:val="it-IT"/>
        </w:rPr>
        <w:t>comma 3</w:t>
      </w:r>
      <w:r w:rsidRPr="00B37AAD">
        <w:rPr>
          <w:lang w:val="it-IT"/>
        </w:rPr>
        <w:t xml:space="preserve"> prevede la possibilità per i CPIA di stipulare accordi o convenzioni con enti locali, altri soggetti pubblici e privati e con strutture formative accreditate dalle Regioni, in coerenza con programmi e quadri di riferimento europei in materia di alfabetizzazione e competenze sull’intelligenza artificiale. I CPIA possono, inoltre, avvalersi dei Centri regionali di ricerca, </w:t>
      </w:r>
      <w:r w:rsidRPr="00B37AAD">
        <w:rPr>
          <w:lang w:val="it-IT"/>
        </w:rPr>
        <w:lastRenderedPageBreak/>
        <w:t xml:space="preserve">sperimentazione e sviluppo (CRRS&amp;S), quali strutture di riferimento per l’innovazione metodologica dell’istruzione degli adulti. </w:t>
      </w:r>
      <w:r w:rsidRPr="004E716D">
        <w:rPr>
          <w:lang w:val="it-IT"/>
        </w:rPr>
        <w:t xml:space="preserve">I CPIA operano nell’ambito dell’autonomia riconosciuta alle istituzioni scolastiche dal decreto del Presidente della Repubblica 8 marzo 1999, n. 275, e possono, ai fini dell’ampliamento dell’offerta formativa, stipulare accordi e convenzioni con enti locali e altri soggetti pubblici e privati, con particolare riferimento alle strutture formative accreditate dalle Regioni. </w:t>
      </w:r>
    </w:p>
    <w:p w14:paraId="770872DF" w14:textId="77777777" w:rsidR="00CA0D47" w:rsidRPr="003B6751" w:rsidRDefault="00CA0D47" w:rsidP="00365E22">
      <w:pPr>
        <w:tabs>
          <w:tab w:val="left" w:pos="426"/>
        </w:tabs>
        <w:spacing w:after="60" w:line="276" w:lineRule="auto"/>
        <w:jc w:val="both"/>
        <w:rPr>
          <w:lang w:val="it-IT"/>
        </w:rPr>
      </w:pPr>
      <w:r w:rsidRPr="004E716D">
        <w:rPr>
          <w:lang w:val="it-IT"/>
        </w:rPr>
        <w:t xml:space="preserve">L’ampliamento dell’offerta formativa, in linea con quanto previsto dall’articolo 9 del citato d.P.R. n. 275 del 1999, consiste in iniziative coerenti con le finalità istituzionali dei CPIA e definite tenendo </w:t>
      </w:r>
      <w:r w:rsidRPr="003B6751">
        <w:rPr>
          <w:lang w:val="it-IT"/>
        </w:rPr>
        <w:t>conto delle esigenze del contesto culturale, sociale ed economico dei territori di riferimento.</w:t>
      </w:r>
    </w:p>
    <w:p w14:paraId="1A7BD1D3" w14:textId="43CF1E60" w:rsidR="003B6751" w:rsidRPr="003B6751" w:rsidRDefault="003B6751" w:rsidP="00365E22">
      <w:pPr>
        <w:tabs>
          <w:tab w:val="left" w:pos="426"/>
        </w:tabs>
        <w:spacing w:after="60" w:line="276" w:lineRule="auto"/>
        <w:jc w:val="both"/>
        <w:rPr>
          <w:b/>
          <w:bCs/>
          <w:lang w:val="it-IT"/>
        </w:rPr>
      </w:pPr>
      <w:r w:rsidRPr="003B6751">
        <w:rPr>
          <w:b/>
          <w:bCs/>
          <w:lang w:val="it-IT"/>
        </w:rPr>
        <w:t>Poiché la misura si riferisce al potenziamento dell’offerta formativa, resta fermo che tali nuove attività formative si renderanno possibili solo se realizzabili con le risorse umane, strumentali e finanziarie disponibili a legislazione vigente o attraverso il contributo degli altri soggetti istituzionali che la disposizione abilita a condividere la progettazioni di tali nuove attività formative.</w:t>
      </w:r>
    </w:p>
    <w:p w14:paraId="1A2BCE53" w14:textId="77777777" w:rsidR="00CA0D47" w:rsidRPr="00B37AAD" w:rsidRDefault="00CA0D47" w:rsidP="00365E22">
      <w:pPr>
        <w:tabs>
          <w:tab w:val="left" w:pos="426"/>
        </w:tabs>
        <w:spacing w:after="60" w:line="276" w:lineRule="auto"/>
        <w:jc w:val="both"/>
        <w:rPr>
          <w:b/>
          <w:bCs/>
          <w:lang w:val="it-IT"/>
        </w:rPr>
      </w:pPr>
      <w:r w:rsidRPr="00B37AAD">
        <w:rPr>
          <w:b/>
          <w:bCs/>
          <w:lang w:val="it-IT"/>
        </w:rPr>
        <w:t xml:space="preserve">L’attivazione dei percorsi formativi rientra nelle prerogative organizzative e didattiche dei CPIA e può essere realizzata mediante l’utilizzo delle risorse umane, strumentali e finanziarie disponibili a legislazione vigente, anche attraverso il ricorso agli strumenti di flessibilità organizzativa e alle collaborazioni già consentite dall’ordinamento. </w:t>
      </w:r>
    </w:p>
    <w:p w14:paraId="1D96FCA1" w14:textId="77777777" w:rsidR="00CA0D47" w:rsidRPr="00B37AAD" w:rsidRDefault="00CA0D47" w:rsidP="00365E22">
      <w:pPr>
        <w:tabs>
          <w:tab w:val="left" w:pos="426"/>
        </w:tabs>
        <w:spacing w:after="60" w:line="276" w:lineRule="auto"/>
        <w:jc w:val="both"/>
        <w:rPr>
          <w:b/>
          <w:bCs/>
          <w:lang w:val="it-IT"/>
        </w:rPr>
      </w:pPr>
      <w:r w:rsidRPr="00B37AAD">
        <w:rPr>
          <w:b/>
          <w:bCs/>
          <w:lang w:val="it-IT"/>
        </w:rPr>
        <w:t>La disposizione si limita, inoltre, a rafforzare l’integrazione territoriale dell’offerta formativa e a promuovere modelli didattici condivisi, nel rispetto del riparto di competenze tra i soggetti coinvolti, valorizzando strumenti di cooperazione già esistenti finalizzati alla condivisione di risorse professionali e strumentali e allo sviluppo di soluzioni organizzative innovative di rete.</w:t>
      </w:r>
    </w:p>
    <w:p w14:paraId="446661FD" w14:textId="77777777" w:rsidR="00CA0D47" w:rsidRPr="00B37AAD" w:rsidRDefault="00CA0D47" w:rsidP="00365E22">
      <w:pPr>
        <w:tabs>
          <w:tab w:val="left" w:pos="426"/>
        </w:tabs>
        <w:spacing w:after="60" w:line="276" w:lineRule="auto"/>
        <w:jc w:val="both"/>
        <w:rPr>
          <w:b/>
          <w:bCs/>
          <w:lang w:val="it-IT"/>
        </w:rPr>
      </w:pPr>
      <w:r w:rsidRPr="00B37AAD">
        <w:rPr>
          <w:b/>
          <w:bCs/>
          <w:lang w:val="it-IT"/>
        </w:rPr>
        <w:t>In tale contesto si inserisce l’esperienza dei Centri regionali di ricerca, sperimentazione e sviluppo (CRRS&amp;S) – costituiti a decorrere dall’anno scolastico 2016/2017 - mediante l’individuazione, in ciascuna regione, di un CPIA capofila operante in rete con gli altri CPIA del territorio regionale. Ciascun CPIA-CRRS&amp;S è coordinato da un comitato tecnico-scientifico cui partecipano, tra gli altri, università, dipartimenti universitari, centri di ricerca e poli tecnico-professionali, nell’ambito delle ordinarie forme di collaborazione istituzionale già previste dall’ordinamento.</w:t>
      </w:r>
    </w:p>
    <w:p w14:paraId="26C9F4EA" w14:textId="77777777" w:rsidR="00CA0D47" w:rsidRPr="00B37AAD" w:rsidRDefault="00CA0D47" w:rsidP="00365E22">
      <w:pPr>
        <w:tabs>
          <w:tab w:val="left" w:pos="426"/>
        </w:tabs>
        <w:spacing w:after="60" w:line="276" w:lineRule="auto"/>
        <w:jc w:val="both"/>
        <w:rPr>
          <w:b/>
          <w:bCs/>
          <w:lang w:val="it-IT"/>
        </w:rPr>
      </w:pPr>
      <w:r w:rsidRPr="00B37AAD">
        <w:rPr>
          <w:b/>
          <w:bCs/>
          <w:lang w:val="it-IT"/>
        </w:rPr>
        <w:t>La disposizione non introduce nuovi organismi, limitandosi a valorizzare assetti organizzativi e reti già operanti nell’ambito del sistema dell’istruzione degli adulti. Dall’attuazione delle disposizioni non derivano, pertanto, nuovi o maggiori oneri a carico della finanza pubblica.</w:t>
      </w:r>
    </w:p>
    <w:p w14:paraId="2CC56BDB" w14:textId="77777777" w:rsidR="00CA0D47" w:rsidRPr="00B37AAD" w:rsidRDefault="00CA0D47" w:rsidP="00365E22">
      <w:pPr>
        <w:tabs>
          <w:tab w:val="left" w:pos="426"/>
        </w:tabs>
        <w:spacing w:after="60" w:line="276" w:lineRule="auto"/>
        <w:jc w:val="both"/>
        <w:rPr>
          <w:lang w:val="it-IT"/>
        </w:rPr>
      </w:pPr>
      <w:r w:rsidRPr="00B37AAD">
        <w:rPr>
          <w:lang w:val="it-IT"/>
        </w:rPr>
        <w:t xml:space="preserve">La norma di cui al </w:t>
      </w:r>
      <w:r w:rsidRPr="00B37AAD">
        <w:rPr>
          <w:b/>
          <w:bCs/>
          <w:lang w:val="it-IT"/>
        </w:rPr>
        <w:t>comma 4</w:t>
      </w:r>
      <w:r w:rsidRPr="00B37AAD">
        <w:rPr>
          <w:lang w:val="it-IT"/>
        </w:rPr>
        <w:t xml:space="preserve"> prevede che il Ministero del Lavoro e delle Politiche Sociali, d’intesa con il Ministero dell’Istruzione e del Merito e con le Regioni, assicuri l’integrazione delle competenze acquisite nei CPIA nei sistemi informativi nazionali a supporto dell’orientamento, della certificazione delle competenze e dell’incontro tra domanda e offerta di lavoro, anche attraverso l’interoperabilità con le piattaforme digitali nazionali dedicate alla formazione e alle competenze. L’obiettivo è rafforzare il raccordo tra i percorsi formativi dei CPIA e le politiche attive del lavoro.</w:t>
      </w:r>
    </w:p>
    <w:p w14:paraId="2CC788E7" w14:textId="77777777" w:rsidR="00CA0D47" w:rsidRPr="00B37AAD" w:rsidRDefault="00CA0D47" w:rsidP="00365E22">
      <w:pPr>
        <w:tabs>
          <w:tab w:val="left" w:pos="426"/>
        </w:tabs>
        <w:spacing w:after="60" w:line="276" w:lineRule="auto"/>
        <w:jc w:val="both"/>
        <w:rPr>
          <w:lang w:val="it-IT"/>
        </w:rPr>
      </w:pPr>
      <w:r w:rsidRPr="00B37AAD">
        <w:rPr>
          <w:b/>
          <w:bCs/>
          <w:lang w:val="it-IT"/>
        </w:rPr>
        <w:t>La disposizione in esame non determina nuovi o maggiori oneri a carico della finanza pubblica in quanto le attività richieste, quali l’integrazione dei dati, l’interoperabilità dei sistemi e il coordinamento con le politiche attive, rientrano nelle competenze ordinarie dei Ministeri e delle Regioni e possono essere realizzate a invarianza di risorse</w:t>
      </w:r>
      <w:r w:rsidRPr="00B37AAD">
        <w:rPr>
          <w:lang w:val="it-IT"/>
        </w:rPr>
        <w:t xml:space="preserve">. L’integrazione delle competenze nel sistema informativo nazionale sfrutta, infatti, strumenti e piattaforme già esistenti, senza necessità di nuovi investimenti in infrastrutture hardware o software, mentre l’interoperabilità rappresenta un’ottimizzazione dei processi. </w:t>
      </w:r>
      <w:r w:rsidRPr="00B37AAD">
        <w:rPr>
          <w:b/>
          <w:bCs/>
          <w:lang w:val="it-IT"/>
        </w:rPr>
        <w:t>È garantita, pertanto, la neutralità finanziaria della disposizione</w:t>
      </w:r>
      <w:r w:rsidRPr="00B37AAD">
        <w:rPr>
          <w:lang w:val="it-IT"/>
        </w:rPr>
        <w:t>.</w:t>
      </w:r>
    </w:p>
    <w:p w14:paraId="7DDBBF4F" w14:textId="77777777" w:rsidR="00CA0D47" w:rsidRPr="00B37AAD" w:rsidRDefault="00CA0D47" w:rsidP="00365E22">
      <w:pPr>
        <w:tabs>
          <w:tab w:val="num" w:pos="284"/>
          <w:tab w:val="left" w:pos="426"/>
        </w:tabs>
        <w:spacing w:after="60" w:line="276" w:lineRule="auto"/>
        <w:jc w:val="both"/>
        <w:rPr>
          <w:rFonts w:eastAsia="Times New Roman"/>
          <w:color w:val="000000" w:themeColor="text1"/>
          <w:kern w:val="2"/>
          <w:lang w:val="it-IT" w:eastAsia="it-IT"/>
        </w:rPr>
      </w:pPr>
      <w:r w:rsidRPr="00B37AAD">
        <w:rPr>
          <w:rFonts w:eastAsia="Times New Roman"/>
          <w:color w:val="000000" w:themeColor="text1"/>
          <w:kern w:val="2"/>
          <w:lang w:val="it-IT" w:eastAsia="it-IT"/>
        </w:rPr>
        <w:lastRenderedPageBreak/>
        <w:t xml:space="preserve">Il </w:t>
      </w:r>
      <w:r w:rsidRPr="00B37AAD">
        <w:rPr>
          <w:rFonts w:eastAsia="Times New Roman"/>
          <w:b/>
          <w:bCs/>
          <w:color w:val="000000" w:themeColor="text1"/>
          <w:kern w:val="2"/>
          <w:lang w:val="it-IT" w:eastAsia="it-IT"/>
        </w:rPr>
        <w:t>comma 5</w:t>
      </w:r>
      <w:r w:rsidRPr="00B37AAD">
        <w:rPr>
          <w:rFonts w:eastAsia="Times New Roman"/>
          <w:color w:val="000000" w:themeColor="text1"/>
          <w:kern w:val="2"/>
          <w:lang w:val="it-IT" w:eastAsia="it-IT"/>
        </w:rPr>
        <w:t xml:space="preserve"> reca la </w:t>
      </w:r>
      <w:r w:rsidRPr="00B37AAD">
        <w:rPr>
          <w:rFonts w:eastAsia="Times New Roman"/>
          <w:b/>
          <w:bCs/>
          <w:color w:val="000000" w:themeColor="text1"/>
          <w:kern w:val="2"/>
          <w:lang w:val="it-IT" w:eastAsia="it-IT"/>
        </w:rPr>
        <w:t>clausola di invarianza finanziaria</w:t>
      </w:r>
      <w:r w:rsidRPr="00B37AAD">
        <w:rPr>
          <w:rFonts w:eastAsia="Times New Roman"/>
          <w:b/>
          <w:bCs/>
          <w:lang w:val="it-IT" w:eastAsia="it-IT"/>
        </w:rPr>
        <w:t>, precisando che alle attività di cui al presente articolo si provvede nei limiti delle risorse umane, strumentali e finanziarie disponibili a legislazione vigente, senza nuovi o ulteriori oneri a carico della finanza pubblica</w:t>
      </w:r>
      <w:r w:rsidRPr="00B37AAD">
        <w:rPr>
          <w:rFonts w:eastAsia="Times New Roman"/>
          <w:lang w:val="it-IT" w:eastAsia="it-IT"/>
        </w:rPr>
        <w:t>.</w:t>
      </w:r>
    </w:p>
    <w:p w14:paraId="72473F25" w14:textId="77777777" w:rsidR="00CA0D47" w:rsidRPr="00B37AAD" w:rsidRDefault="00CA0D47" w:rsidP="00365E22">
      <w:pPr>
        <w:tabs>
          <w:tab w:val="left" w:pos="426"/>
        </w:tabs>
        <w:spacing w:after="60" w:line="276" w:lineRule="auto"/>
        <w:jc w:val="both"/>
        <w:rPr>
          <w:lang w:val="it-IT"/>
        </w:rPr>
      </w:pPr>
    </w:p>
    <w:p w14:paraId="031D628A" w14:textId="046E2A6B" w:rsidR="00CA0D47" w:rsidRPr="00B37AAD" w:rsidRDefault="00F72D53" w:rsidP="00365E22">
      <w:pPr>
        <w:tabs>
          <w:tab w:val="left" w:pos="426"/>
        </w:tabs>
        <w:spacing w:after="60" w:line="276" w:lineRule="auto"/>
        <w:jc w:val="both"/>
        <w:rPr>
          <w:rFonts w:eastAsia="Times New Roman"/>
          <w:lang w:val="it-IT" w:eastAsia="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6E6381">
        <w:rPr>
          <w:rFonts w:eastAsia="Aptos"/>
          <w:b/>
          <w:bCs/>
          <w:kern w:val="2"/>
          <w:bdr w:val="none" w:sz="0" w:space="0" w:color="auto"/>
          <w:lang w:val="it-IT"/>
          <w14:ligatures w14:val="standardContextual"/>
        </w:rPr>
        <w:t xml:space="preserve"> 39</w:t>
      </w:r>
      <w:r w:rsidRPr="006E6381">
        <w:rPr>
          <w:rFonts w:eastAsia="Aptos"/>
          <w:b/>
          <w:bCs/>
          <w:color w:val="0000FF"/>
          <w:kern w:val="2"/>
          <w:bdr w:val="none" w:sz="0" w:space="0" w:color="auto"/>
          <w:lang w:val="it-IT"/>
          <w14:ligatures w14:val="standardContextual"/>
        </w:rPr>
        <w:t xml:space="preserve"> </w:t>
      </w:r>
      <w:r w:rsidRPr="004C392E">
        <w:rPr>
          <w:rFonts w:eastAsia="Aptos"/>
          <w:kern w:val="2"/>
          <w:bdr w:val="none" w:sz="0" w:space="0" w:color="auto"/>
          <w:lang w:val="it-IT"/>
          <w14:ligatures w14:val="standardContextual"/>
        </w:rPr>
        <w:t>(</w:t>
      </w:r>
      <w:r w:rsidRPr="004C392E">
        <w:rPr>
          <w:rFonts w:eastAsia="Aptos"/>
          <w:i/>
          <w:iCs/>
          <w:kern w:val="2"/>
          <w:bdr w:val="none" w:sz="0" w:space="0" w:color="auto"/>
          <w:lang w:val="it-IT"/>
          <w14:ligatures w14:val="standardContextual"/>
        </w:rPr>
        <w:t>Intelligenza artificiale, formazione e riqualificazione professionale</w:t>
      </w:r>
      <w:r w:rsidRPr="004C392E">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B37AAD">
        <w:rPr>
          <w:rFonts w:eastAsia="Times New Roman"/>
          <w:lang w:val="it-IT" w:eastAsia="it-IT"/>
        </w:rPr>
        <w:t>assicura un rafforzamento delle misure di formazione e riqualificazione professionale in relazione all’introduzione dei sistemi di intelligenza artificiale, garantendo al contempo la neutralità finanziaria, in quanto le attività sono pienamente integrate nelle competenze istituzionali già previste.</w:t>
      </w:r>
    </w:p>
    <w:p w14:paraId="195A0D12"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In particolare, la neutralità finanziaria dell’articolo in esame è pienamente garantita in quanto la norma si limita ad attribuire al Ministero del lavoro e delle politiche sociali un compito di coordinamento delle misure finalizzate a sostenere l’adattamento del capitale umano all’introduzione e alla diffusione dei sistemi di intelligenza artificiale, nell’ambito delle ordinarie politiche attive del lavoro, della formazione continua e della riqualificazione professionale.</w:t>
      </w:r>
    </w:p>
    <w:p w14:paraId="2EB42337"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 xml:space="preserve">Le suddette funzioni rientrano integralmente nelle competenze già attribuite al Ministero dalle disposizioni vigenti, senza introdurre nuovi interventi né azioni aggiuntive che possano comportare maggiori oneri a carico della finanza pubblica. </w:t>
      </w:r>
    </w:p>
    <w:p w14:paraId="4FB7BDE3"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In particolare, il ruolo del Ministero consisterà nel coordinare, armonizzare e integrare le iniziative già esistenti, assicurando il raccordo tra percorsi formativi, sistemi di certificazione delle competenze e servizi per l’impiego, anche mediante strumenti digitali nazionali interoperabili.</w:t>
      </w:r>
    </w:p>
    <w:p w14:paraId="56FC7D30"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 xml:space="preserve">Analogamente, con riferimento ai percorsi formativi destinati al miglioramento dell’occupabilità dei lavoratori, attraverso iniziative di </w:t>
      </w:r>
      <w:r w:rsidRPr="00B37AAD">
        <w:rPr>
          <w:rFonts w:eastAsia="Times New Roman"/>
          <w:i/>
          <w:iCs/>
          <w:lang w:val="it-IT" w:eastAsia="it-IT"/>
        </w:rPr>
        <w:t xml:space="preserve">upskilling </w:t>
      </w:r>
      <w:r w:rsidRPr="00B37AAD">
        <w:rPr>
          <w:rFonts w:eastAsia="Times New Roman"/>
          <w:lang w:val="it-IT" w:eastAsia="it-IT"/>
        </w:rPr>
        <w:t>e</w:t>
      </w:r>
      <w:r w:rsidRPr="00B37AAD">
        <w:rPr>
          <w:rFonts w:eastAsia="Times New Roman"/>
          <w:i/>
          <w:iCs/>
          <w:lang w:val="it-IT" w:eastAsia="it-IT"/>
        </w:rPr>
        <w:t xml:space="preserve"> reskilling</w:t>
      </w:r>
      <w:r w:rsidRPr="00B37AAD">
        <w:rPr>
          <w:rFonts w:eastAsia="Times New Roman"/>
          <w:lang w:val="it-IT" w:eastAsia="it-IT"/>
        </w:rPr>
        <w:t xml:space="preserve">, la disposizione non comporta nuovi oneri finanziari. Tali percorsi si collocano nell’ambito delle ordinarie funzioni istituzionali delle Regioni, come previsto dall’articolo 117 della Costituzione, che attribuisce a questi enti la competenza esclusiva in materia di istruzione, formazione e politiche del lavoro. </w:t>
      </w:r>
    </w:p>
    <w:p w14:paraId="2F5B7E78"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b/>
          <w:bCs/>
          <w:lang w:val="it-IT" w:eastAsia="it-IT"/>
        </w:rPr>
        <w:t>Pertanto, le azioni previste dall’articolo si inseriscono coerentemente nell’ordinaria programmazione regionale e nazionale, senza incidere sul bilancio dello Stato</w:t>
      </w:r>
      <w:r w:rsidRPr="00B37AAD">
        <w:rPr>
          <w:rFonts w:eastAsia="Times New Roman"/>
          <w:lang w:val="it-IT" w:eastAsia="it-IT"/>
        </w:rPr>
        <w:t>.</w:t>
      </w:r>
    </w:p>
    <w:p w14:paraId="640F87E0" w14:textId="77777777" w:rsidR="00CA0D47" w:rsidRPr="00B37AAD" w:rsidRDefault="00CA0D47" w:rsidP="00365E22">
      <w:pPr>
        <w:tabs>
          <w:tab w:val="left" w:pos="426"/>
        </w:tabs>
        <w:spacing w:after="60" w:line="276" w:lineRule="auto"/>
        <w:jc w:val="both"/>
        <w:rPr>
          <w:rFonts w:eastAsia="Times New Roman"/>
          <w:color w:val="EE0000"/>
          <w:lang w:val="it-IT" w:eastAsia="it-IT"/>
        </w:rPr>
      </w:pPr>
    </w:p>
    <w:p w14:paraId="20DD9491" w14:textId="57C2CF3B" w:rsidR="00CA0D47" w:rsidRPr="00B37AAD" w:rsidRDefault="00E67F9E" w:rsidP="00365E22">
      <w:pPr>
        <w:tabs>
          <w:tab w:val="left" w:pos="426"/>
        </w:tabs>
        <w:spacing w:after="60" w:line="276" w:lineRule="auto"/>
        <w:jc w:val="both"/>
        <w:rPr>
          <w:rFonts w:eastAsia="Times New Roman"/>
          <w:lang w:val="it-IT" w:eastAsia="it-IT"/>
        </w:rPr>
      </w:pPr>
      <w:r>
        <w:rPr>
          <w:rFonts w:eastAsia="Aptos"/>
          <w:kern w:val="2"/>
          <w:bdr w:val="none" w:sz="0" w:space="0" w:color="auto"/>
          <w:lang w:val="it-IT"/>
          <w14:ligatures w14:val="standardContextual"/>
        </w:rPr>
        <w:t>All</w:t>
      </w:r>
      <w:r w:rsidRPr="0004087F">
        <w:rPr>
          <w:rFonts w:eastAsia="Aptos"/>
          <w:kern w:val="2"/>
          <w:bdr w:val="none" w:sz="0" w:space="0" w:color="auto"/>
          <w:lang w:val="it-IT"/>
          <w14:ligatures w14:val="standardContextual"/>
        </w:rPr>
        <w:t>’</w:t>
      </w:r>
      <w:r>
        <w:rPr>
          <w:rFonts w:eastAsia="Aptos"/>
          <w:b/>
          <w:bCs/>
          <w:kern w:val="2"/>
          <w:bdr w:val="none" w:sz="0" w:space="0" w:color="auto"/>
          <w:lang w:val="it-IT"/>
          <w14:ligatures w14:val="standardContextual"/>
        </w:rPr>
        <w:t>articolo</w:t>
      </w:r>
      <w:r w:rsidRPr="006E6381">
        <w:rPr>
          <w:rFonts w:eastAsia="Aptos"/>
          <w:b/>
          <w:bCs/>
          <w:kern w:val="2"/>
          <w:bdr w:val="none" w:sz="0" w:space="0" w:color="auto"/>
          <w:lang w:val="it-IT"/>
          <w14:ligatures w14:val="standardContextual"/>
        </w:rPr>
        <w:t xml:space="preserve"> </w:t>
      </w:r>
      <w:r w:rsidRPr="006E6381">
        <w:rPr>
          <w:rFonts w:eastAsia="Times New Roman"/>
          <w:b/>
          <w:bCs/>
          <w:kern w:val="2"/>
          <w:bdr w:val="none" w:sz="0" w:space="0" w:color="auto"/>
          <w:lang w:val="it-IT"/>
          <w14:ligatures w14:val="standardContextual"/>
        </w:rPr>
        <w:t>40</w:t>
      </w:r>
      <w:r w:rsidRPr="006E6381">
        <w:rPr>
          <w:rFonts w:eastAsia="Aptos"/>
          <w:b/>
          <w:bCs/>
          <w:color w:val="0000FF"/>
          <w:kern w:val="2"/>
          <w:bdr w:val="none" w:sz="0" w:space="0" w:color="auto"/>
          <w:lang w:val="it-IT"/>
          <w14:ligatures w14:val="standardContextual"/>
        </w:rPr>
        <w:t xml:space="preserve"> </w:t>
      </w:r>
      <w:r w:rsidRPr="004C392E">
        <w:rPr>
          <w:rFonts w:eastAsia="Aptos"/>
          <w:kern w:val="2"/>
          <w:bdr w:val="none" w:sz="0" w:space="0" w:color="auto"/>
          <w:lang w:val="it-IT"/>
          <w14:ligatures w14:val="standardContextual"/>
        </w:rPr>
        <w:t>(</w:t>
      </w:r>
      <w:r w:rsidRPr="004C392E">
        <w:rPr>
          <w:rFonts w:eastAsia="Aptos"/>
          <w:i/>
          <w:iCs/>
          <w:kern w:val="2"/>
          <w:bdr w:val="none" w:sz="0" w:space="0" w:color="auto"/>
          <w:lang w:val="it-IT"/>
          <w14:ligatures w14:val="standardContextual"/>
        </w:rPr>
        <w:t>Sistemi di intelligenza artificiale nelle pubbliche amministrazioni e valorizzazione del capitale umano</w:t>
      </w:r>
      <w:r w:rsidRPr="004C392E">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i</w:t>
      </w:r>
      <w:r w:rsidR="00CA0D47" w:rsidRPr="00B37AAD">
        <w:rPr>
          <w:rFonts w:eastAsia="Times New Roman"/>
          <w:lang w:val="it-IT" w:eastAsia="it-IT"/>
        </w:rPr>
        <w:t xml:space="preserve">l </w:t>
      </w:r>
      <w:r w:rsidR="00CA0D47" w:rsidRPr="00B37AAD">
        <w:rPr>
          <w:rFonts w:eastAsia="Times New Roman"/>
          <w:b/>
          <w:bCs/>
          <w:lang w:val="it-IT" w:eastAsia="it-IT"/>
        </w:rPr>
        <w:t>comma 1</w:t>
      </w:r>
      <w:r w:rsidR="00CA0D47" w:rsidRPr="00B37AAD">
        <w:rPr>
          <w:rFonts w:eastAsia="Times New Roman"/>
          <w:lang w:val="it-IT" w:eastAsia="it-IT"/>
        </w:rPr>
        <w:t xml:space="preserve"> attribuisce al Ministro per la PA il compito di indirizzare e coordinare le politiche di reclutamento, di formazione di base, di formazione continua, di riqualificazione professionale e di alta formazione dei dipendenti pubblici.</w:t>
      </w:r>
    </w:p>
    <w:p w14:paraId="6F9937D8"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 xml:space="preserve">Il </w:t>
      </w:r>
      <w:r w:rsidRPr="00B37AAD">
        <w:rPr>
          <w:rFonts w:eastAsia="Times New Roman"/>
          <w:b/>
          <w:bCs/>
          <w:lang w:val="it-IT" w:eastAsia="it-IT"/>
        </w:rPr>
        <w:t>comma 2</w:t>
      </w:r>
      <w:r w:rsidRPr="00B37AAD">
        <w:rPr>
          <w:rFonts w:eastAsia="Times New Roman"/>
          <w:lang w:val="it-IT" w:eastAsia="it-IT"/>
        </w:rPr>
        <w:t xml:space="preserve"> disciplina, sempre nell’ambito dei compiti di cui al comma 1, l’avvalimento del Ministro per la PA della SNA, nonché, in regime convenzionale, di collaborazioni con università, enti di ricerca e con istituzioni di alta formazione, al fine di assicurare un efficiente trasferimento di conoscenze, la costruzione di competenze digitali avanzate e un supporto specialistico alle sperimentazioni e alle applicazioni pratiche dell’intelligenza artificiale nelle PA.</w:t>
      </w:r>
    </w:p>
    <w:p w14:paraId="64004A02" w14:textId="77777777" w:rsidR="00CA0D47" w:rsidRPr="00B37AAD" w:rsidRDefault="00CA0D47" w:rsidP="00365E22">
      <w:pPr>
        <w:tabs>
          <w:tab w:val="left" w:pos="426"/>
        </w:tabs>
        <w:spacing w:after="60" w:line="276" w:lineRule="auto"/>
        <w:jc w:val="both"/>
        <w:rPr>
          <w:rFonts w:eastAsia="Times New Roman"/>
          <w:lang w:val="it-IT" w:eastAsia="it-IT"/>
        </w:rPr>
      </w:pPr>
      <w:r w:rsidRPr="00B37AAD">
        <w:rPr>
          <w:rFonts w:eastAsia="Times New Roman"/>
          <w:lang w:val="it-IT" w:eastAsia="it-IT"/>
        </w:rPr>
        <w:t xml:space="preserve">Il </w:t>
      </w:r>
      <w:r w:rsidRPr="00B37AAD">
        <w:rPr>
          <w:rFonts w:eastAsia="Times New Roman"/>
          <w:b/>
          <w:bCs/>
          <w:lang w:val="it-IT" w:eastAsia="it-IT"/>
        </w:rPr>
        <w:t>comma 3</w:t>
      </w:r>
      <w:r w:rsidRPr="00B37AAD">
        <w:rPr>
          <w:rFonts w:eastAsia="Times New Roman"/>
          <w:lang w:val="it-IT" w:eastAsia="it-IT"/>
        </w:rPr>
        <w:t xml:space="preserve"> reca la </w:t>
      </w:r>
      <w:r w:rsidRPr="00B37AAD">
        <w:rPr>
          <w:rFonts w:eastAsia="Times New Roman"/>
          <w:b/>
          <w:bCs/>
          <w:lang w:val="it-IT" w:eastAsia="it-IT"/>
        </w:rPr>
        <w:t>clausola di invarianza finanziaria, precisando che alle attività di cui al presente articolo si provvede nei limiti delle risorse umane, strumentali e finanziarie disponibili a legislazione vigente, senza nuovi o ulteriori oneri a carico della finanza pubblica</w:t>
      </w:r>
      <w:r w:rsidRPr="00B37AAD">
        <w:rPr>
          <w:rFonts w:eastAsia="Times New Roman"/>
          <w:lang w:val="it-IT" w:eastAsia="it-IT"/>
        </w:rPr>
        <w:t>.</w:t>
      </w:r>
    </w:p>
    <w:p w14:paraId="15964B91" w14:textId="77777777" w:rsidR="006C43E3" w:rsidRPr="00B37AAD" w:rsidRDefault="006C43E3" w:rsidP="00365E22">
      <w:pPr>
        <w:tabs>
          <w:tab w:val="left" w:pos="426"/>
        </w:tabs>
        <w:spacing w:after="60" w:line="276" w:lineRule="auto"/>
        <w:jc w:val="both"/>
        <w:rPr>
          <w:rFonts w:eastAsia="Times New Roman"/>
          <w:lang w:val="it-IT" w:eastAsia="it-IT"/>
        </w:rPr>
      </w:pPr>
    </w:p>
    <w:p w14:paraId="0D83DC3F" w14:textId="77777777" w:rsidR="006C43E3" w:rsidRPr="00497346" w:rsidRDefault="006C43E3" w:rsidP="00497346">
      <w:pPr>
        <w:jc w:val="both"/>
        <w:rPr>
          <w:i/>
          <w:iCs/>
          <w:lang w:val="it-IT"/>
        </w:rPr>
      </w:pPr>
      <w:r w:rsidRPr="00497346">
        <w:rPr>
          <w:b/>
          <w:bCs/>
          <w:lang w:val="it-IT"/>
        </w:rPr>
        <w:t xml:space="preserve">ART. 41 </w:t>
      </w:r>
      <w:r w:rsidRPr="00497346">
        <w:rPr>
          <w:i/>
          <w:iCs/>
          <w:lang w:val="it-IT"/>
        </w:rPr>
        <w:t>(</w:t>
      </w:r>
      <w:r w:rsidRPr="00497346">
        <w:rPr>
          <w:i/>
          <w:iCs/>
          <w:lang w:val="it-IT" w:eastAsia="it-IT"/>
        </w:rPr>
        <w:t>Tutela del lavoratore nei processi decisionali assistiti da sistemi di intelligenza artificiale</w:t>
      </w:r>
      <w:r w:rsidRPr="00497346">
        <w:rPr>
          <w:i/>
          <w:iCs/>
          <w:lang w:val="it-IT"/>
        </w:rPr>
        <w:t>)</w:t>
      </w:r>
    </w:p>
    <w:p w14:paraId="16A51E14"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 xml:space="preserve">La proposta normativa in esame introduce specifiche garanzie a tutela dei lavoratori nell’ambito dell’utilizzo di sistemi di intelligenza artificiale nei processi decisionali che incidono sul rapporto di </w:t>
      </w:r>
      <w:r w:rsidRPr="00B37AAD">
        <w:rPr>
          <w:rFonts w:eastAsia="Times New Roman"/>
          <w:bdr w:val="none" w:sz="0" w:space="0" w:color="auto"/>
          <w:lang w:val="it-IT" w:eastAsia="it-IT"/>
        </w:rPr>
        <w:lastRenderedPageBreak/>
        <w:t>lavoro, in coerenza con il quadro normativo europeo in materia di protezione dei dati personali e di regolamentazione dell’intelligenza artificiale.</w:t>
      </w:r>
    </w:p>
    <w:p w14:paraId="577F99CA"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Il comma 1 stabilisce il principio secondo cui le decisioni concernenti la costituzione, la modificazione o la risoluzione del rapporto di lavoro, compresi i provvedimenti disciplinari, non possono essere adottate esclusivamente sulla base di un trattamento automatizzato effettuato mediante sistemi di intelligenza artificiale. La norma si pone in continuità con le garanzie previste dall’articolo 22 del regolamento (UE) 2016/679 (GDPR) e con la disciplina nazionale, in particolare con i principi stabiliti dall’articolo 11 della legge 132 del 2025.</w:t>
      </w:r>
    </w:p>
    <w:p w14:paraId="553BC0E2"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 xml:space="preserve">A tal fine viene espressamente previsto che la decisione finale sia sempre riservata a una persona fisica dotata dei necessari poteri decisionali, che possa riesaminare i presupposti della valutazione algoritmica e discostarsi, ove necessario, dall’esito elaborato dal sistema, fornendo adeguata motivazione. </w:t>
      </w:r>
    </w:p>
    <w:p w14:paraId="70638A85"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 xml:space="preserve">Il comma 2 afferma che l’impiego dei sistemi di intelligenza artificiale deve avvenire nel rispetto della dignità e della riservatezza del lavoratore, nonché del principio di non discriminazione. </w:t>
      </w:r>
    </w:p>
    <w:p w14:paraId="35C60A27"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Il comma 3 disciplina gli obblighi informativi e i diritti di trasparenza riconosciuti al lavoratore. In particolare, il datore di lavoro è tenuto ad adempiere, prima dell’avvio del trattamento, agli obblighi di informazione previsti dalla normativa vigente. Viene, inoltre, riconosciuto al lavoratore il diritto di ottenere, su richiesta e mediante l’intervento di una persona fisica, una spiegazione intelligibile della decisione che lo riguarda. Tale spiegazione deve consentire di comprendere il ruolo eventualmente svolto dal sistema di intelligenza artificiale nel processo decisionale e i principali parametri utilizzati ai fini della valutazione.</w:t>
      </w:r>
    </w:p>
    <w:p w14:paraId="09803B22"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La norma intende garantire un adeguato livello di trasparenza e comprensibilità delle decisioni assistite da sistemi algoritmici, evitando che il lavoratore si trovi di fronte a decisioni opache o prive di motivazione effettivamente conoscibile. Restano impregiudicati i diritti riconosciuti dal GDPR, tra cui il diritto di accesso ai dati personali e le ulteriori prerogative previste dagli articoli 13, 15 e 22 del medesimo regolamento.</w:t>
      </w:r>
    </w:p>
    <w:p w14:paraId="17694D56"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Il comma 4 stabilisce, infine, la nullità del licenziamento intimato in violazione del divieto di decisione esclusivamente automatizzata previsto dal comma 1.</w:t>
      </w:r>
    </w:p>
    <w:p w14:paraId="3DC8A8BF" w14:textId="77777777" w:rsidR="006C43E3" w:rsidRPr="00B37AAD" w:rsidRDefault="006C43E3"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Times New Roman"/>
          <w:bdr w:val="none" w:sz="0" w:space="0" w:color="auto"/>
          <w:lang w:val="it-IT" w:eastAsia="it-IT"/>
        </w:rPr>
      </w:pPr>
      <w:r w:rsidRPr="00B37AAD">
        <w:rPr>
          <w:rFonts w:eastAsia="Times New Roman"/>
          <w:bdr w:val="none" w:sz="0" w:space="0" w:color="auto"/>
          <w:lang w:val="it-IT" w:eastAsia="it-IT"/>
        </w:rPr>
        <w:t>Trattandosi di una disposizione di carattere ordinamentale e di principio, volta a definire garanzie procedimentali e diritti di trasparenza nell'ambito di rapporti tra soggetti privati nonché modalità di esercizio di poteri e obblighi già gravanti sui soggetti interessati nell'ambito del vigente quadro normativo, dalla sua attuazione non derivano nuovi o maggiori oneri a carico della finanza pubblica.</w:t>
      </w:r>
    </w:p>
    <w:p w14:paraId="7A242855" w14:textId="77777777" w:rsidR="00CA0D47" w:rsidRPr="00B37AAD" w:rsidRDefault="00CA0D47" w:rsidP="00365E22">
      <w:pPr>
        <w:tabs>
          <w:tab w:val="left" w:pos="426"/>
        </w:tabs>
        <w:spacing w:after="60" w:line="276" w:lineRule="auto"/>
        <w:jc w:val="both"/>
        <w:rPr>
          <w:rFonts w:eastAsia="Times New Roman"/>
          <w:color w:val="EE0000"/>
          <w:lang w:val="it-IT" w:eastAsia="it-IT"/>
        </w:rPr>
      </w:pPr>
    </w:p>
    <w:p w14:paraId="3440B583" w14:textId="1C1C7083" w:rsidR="00CA0D47" w:rsidRPr="00B37AAD" w:rsidRDefault="009C3136" w:rsidP="00365E22">
      <w:pPr>
        <w:spacing w:after="60" w:line="276" w:lineRule="auto"/>
        <w:jc w:val="both"/>
        <w:rPr>
          <w:rFonts w:eastAsia="Aptos"/>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6E6381">
        <w:rPr>
          <w:rFonts w:eastAsia="Aptos"/>
          <w:b/>
          <w:bCs/>
          <w:kern w:val="2"/>
          <w:bdr w:val="none" w:sz="0" w:space="0" w:color="auto"/>
          <w:lang w:val="it-IT"/>
          <w14:ligatures w14:val="standardContextual"/>
        </w:rPr>
        <w:t xml:space="preserve"> 42 </w:t>
      </w:r>
      <w:r w:rsidRPr="00F23908">
        <w:rPr>
          <w:rFonts w:eastAsia="Aptos"/>
          <w:kern w:val="2"/>
          <w:bdr w:val="none" w:sz="0" w:space="0" w:color="auto"/>
          <w:lang w:val="it-IT"/>
          <w14:ligatures w14:val="standardContextual"/>
        </w:rPr>
        <w:t>(</w:t>
      </w:r>
      <w:r w:rsidRPr="00F23908">
        <w:rPr>
          <w:rFonts w:eastAsia="Aptos"/>
          <w:i/>
          <w:iCs/>
          <w:kern w:val="2"/>
          <w:bdr w:val="none" w:sz="0" w:space="0" w:color="auto"/>
          <w:lang w:val="it-IT"/>
          <w14:ligatures w14:val="standardContextual"/>
        </w:rPr>
        <w:t>Intelligenza artificiale, salute e sicurezza nei luoghi di lavoro</w:t>
      </w:r>
      <w:r w:rsidRPr="00F23908">
        <w:rPr>
          <w:rFonts w:eastAsia="Aptos"/>
          <w:kern w:val="2"/>
          <w:bdr w:val="none" w:sz="0" w:space="0" w:color="auto"/>
          <w:lang w:val="it-IT"/>
          <w14:ligatures w14:val="standardContextual"/>
        </w:rPr>
        <w:t>)</w:t>
      </w:r>
      <w:r w:rsidRPr="006E6381">
        <w:rPr>
          <w:rFonts w:eastAsia="Times New Roman"/>
          <w:bdr w:val="none" w:sz="0" w:space="0" w:color="auto"/>
          <w:lang w:val="it-IT" w:eastAsia="it-IT"/>
        </w:rPr>
        <w:t xml:space="preserve"> </w:t>
      </w:r>
      <w:r w:rsidR="00CA0D47" w:rsidRPr="00B37AAD">
        <w:rPr>
          <w:rFonts w:eastAsia="Aptos"/>
          <w:lang w:val="it-IT"/>
        </w:rPr>
        <w:t>si colloca nell’ambito del quadro delle competenze già attribuite al Ministero e agli altri soggetti istituzionali, ai sensi del decreto legislativo 9 aprile 2008, n. 81.</w:t>
      </w:r>
    </w:p>
    <w:p w14:paraId="31804426" w14:textId="77777777" w:rsidR="00CA0D47" w:rsidRPr="00B37AAD" w:rsidRDefault="00CA0D47" w:rsidP="00365E22">
      <w:pPr>
        <w:tabs>
          <w:tab w:val="num" w:pos="720"/>
        </w:tabs>
        <w:spacing w:after="60" w:line="276" w:lineRule="auto"/>
        <w:jc w:val="both"/>
        <w:rPr>
          <w:rFonts w:eastAsia="Aptos"/>
          <w:lang w:val="it-IT"/>
        </w:rPr>
      </w:pPr>
      <w:r w:rsidRPr="00B37AAD">
        <w:rPr>
          <w:rFonts w:eastAsia="Aptos"/>
          <w:lang w:val="it-IT"/>
        </w:rPr>
        <w:t xml:space="preserve">Nello specifico l’integrazione dei sistemi di intelligenza artificiale nell’ambito della valutazione dei rischi costituisce un adattamento evolutivo di obblighi già previsti dall’articolo 28 del decreto legislativo n. 81 del 2008. </w:t>
      </w:r>
    </w:p>
    <w:p w14:paraId="20C32C50" w14:textId="77777777" w:rsidR="00CA0D47" w:rsidRPr="00B37AAD" w:rsidRDefault="00CA0D47" w:rsidP="00365E22">
      <w:pPr>
        <w:tabs>
          <w:tab w:val="num" w:pos="720"/>
        </w:tabs>
        <w:spacing w:after="60" w:line="276" w:lineRule="auto"/>
        <w:jc w:val="both"/>
        <w:rPr>
          <w:rFonts w:eastAsia="Aptos"/>
          <w:lang w:val="it-IT"/>
        </w:rPr>
      </w:pPr>
      <w:r w:rsidRPr="00B37AAD">
        <w:rPr>
          <w:rFonts w:eastAsia="Aptos"/>
          <w:lang w:val="it-IT"/>
        </w:rPr>
        <w:t>Difatti, gli obblighi di informazione e formazione a carico dei datori di lavoro risultano già previsti dalla normativa vigente, con possibilità di adeguamento dei contenuti formativi senza nuovi o maggiori oneri e le attività di promozione dovrebbero essere svolte nell’ambito delle risorse già disponibili a legislazione vigente.</w:t>
      </w:r>
    </w:p>
    <w:p w14:paraId="7A87CFFA" w14:textId="77777777" w:rsidR="00CA0D47" w:rsidRPr="00B37AAD" w:rsidRDefault="00CA0D47" w:rsidP="00365E22">
      <w:pPr>
        <w:spacing w:after="60" w:line="276" w:lineRule="auto"/>
        <w:jc w:val="both"/>
        <w:rPr>
          <w:rFonts w:eastAsia="Aptos"/>
          <w:lang w:val="it-IT"/>
        </w:rPr>
      </w:pPr>
      <w:r w:rsidRPr="00B37AAD">
        <w:rPr>
          <w:rFonts w:eastAsia="Aptos"/>
          <w:b/>
          <w:bCs/>
          <w:lang w:val="it-IT"/>
        </w:rPr>
        <w:lastRenderedPageBreak/>
        <w:t>Pertanto, dall’attuazione della disposizione non derivano nuovi o maggiori oneri a carico della finanza pubblica</w:t>
      </w:r>
      <w:r w:rsidRPr="00B37AAD">
        <w:rPr>
          <w:rFonts w:eastAsia="Aptos"/>
          <w:lang w:val="it-IT"/>
        </w:rPr>
        <w:t xml:space="preserve">. </w:t>
      </w:r>
    </w:p>
    <w:p w14:paraId="47429EA2" w14:textId="77777777" w:rsidR="00CA0D47" w:rsidRDefault="00CA0D47" w:rsidP="00365E22">
      <w:pPr>
        <w:tabs>
          <w:tab w:val="left" w:pos="426"/>
        </w:tabs>
        <w:spacing w:after="60" w:line="276" w:lineRule="auto"/>
        <w:rPr>
          <w:rFonts w:eastAsia="Times New Roman"/>
          <w:color w:val="EE0000"/>
          <w:lang w:val="it-IT" w:eastAsia="it-IT"/>
        </w:rPr>
      </w:pPr>
    </w:p>
    <w:p w14:paraId="1C74097E" w14:textId="77777777" w:rsidR="006932ED" w:rsidRPr="00107E5A" w:rsidRDefault="006932ED" w:rsidP="006932E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60" w:line="276" w:lineRule="auto"/>
        <w:jc w:val="both"/>
        <w:rPr>
          <w:rFonts w:eastAsia="Aptos"/>
          <w:color w:val="000000"/>
          <w:bdr w:val="none" w:sz="0" w:space="0" w:color="auto"/>
          <w:lang w:val="it-IT" w:bidi="it-IT"/>
          <w14:ligatures w14:val="standardContextual"/>
        </w:rPr>
      </w:pPr>
      <w:r w:rsidRPr="00107E5A">
        <w:rPr>
          <w:rFonts w:eastAsia="Aptos"/>
          <w:color w:val="000000"/>
          <w:bdr w:val="none" w:sz="0" w:space="0" w:color="auto"/>
          <w:lang w:val="it-IT" w:bidi="it-IT"/>
          <w14:ligatures w14:val="standardContextual"/>
        </w:rPr>
        <w:t xml:space="preserve">Gli </w:t>
      </w:r>
      <w:r w:rsidRPr="00107E5A">
        <w:rPr>
          <w:rFonts w:eastAsia="Aptos"/>
          <w:color w:val="000000"/>
          <w:u w:val="single"/>
          <w:bdr w:val="none" w:sz="0" w:space="0" w:color="auto"/>
          <w:lang w:val="it-IT" w:bidi="it-IT"/>
          <w14:ligatures w14:val="standardContextual"/>
        </w:rPr>
        <w:t xml:space="preserve">articoli </w:t>
      </w:r>
      <w:r>
        <w:rPr>
          <w:rFonts w:eastAsia="Aptos"/>
          <w:color w:val="000000"/>
          <w:u w:val="single"/>
          <w:bdr w:val="none" w:sz="0" w:space="0" w:color="auto"/>
          <w:lang w:val="it-IT" w:bidi="it-IT"/>
          <w14:ligatures w14:val="standardContextual"/>
        </w:rPr>
        <w:t>43, 44 e 45</w:t>
      </w:r>
      <w:r w:rsidRPr="00107E5A">
        <w:rPr>
          <w:rFonts w:eastAsia="Aptos"/>
          <w:color w:val="000000"/>
          <w:bdr w:val="none" w:sz="0" w:space="0" w:color="auto"/>
          <w:lang w:val="it-IT" w:bidi="it-IT"/>
          <w14:ligatures w14:val="standardContextual"/>
        </w:rPr>
        <w:t xml:space="preserve"> riguardano l’attuazione dei principi e criteri direttivi di cui all’articolo 24, comma 2, lettere e) e f), vista anche la particolare contiguità tematica, si è ipotizzata la formulazione di disposizioni raccolte in un unico articolo, mentre per le lettere i) e l) si sono ipotizzate disposizioni distinte.</w:t>
      </w:r>
    </w:p>
    <w:p w14:paraId="333808CA" w14:textId="53BDE98A" w:rsidR="00CA0D47" w:rsidRPr="006932ED" w:rsidRDefault="006932ED" w:rsidP="006932ED">
      <w:pPr>
        <w:tabs>
          <w:tab w:val="left" w:pos="426"/>
        </w:tabs>
        <w:spacing w:after="60" w:line="276" w:lineRule="auto"/>
        <w:jc w:val="both"/>
        <w:rPr>
          <w:rFonts w:eastAsia="Times New Roman"/>
          <w:color w:val="EE0000"/>
          <w:lang w:val="it-IT" w:eastAsia="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Pr>
          <w:rFonts w:eastAsia="Aptos"/>
          <w:b/>
          <w:bCs/>
          <w:kern w:val="2"/>
          <w:bdr w:val="none" w:sz="0" w:space="0" w:color="auto"/>
          <w:lang w:val="it-IT"/>
          <w14:ligatures w14:val="standardContextual"/>
        </w:rPr>
        <w:t>43</w:t>
      </w:r>
      <w:r w:rsidRPr="00107E5A">
        <w:rPr>
          <w:rFonts w:eastAsia="Aptos"/>
          <w:b/>
          <w:bCs/>
          <w:i/>
          <w:iCs/>
          <w:bdr w:val="none" w:sz="0" w:space="0" w:color="auto"/>
          <w:lang w:val="it-IT" w:bidi="it-IT"/>
          <w14:ligatures w14:val="standardContextual"/>
        </w:rPr>
        <w:t xml:space="preserve"> </w:t>
      </w:r>
      <w:r w:rsidRPr="00F23908">
        <w:rPr>
          <w:rFonts w:eastAsia="Aptos"/>
          <w:i/>
          <w:iCs/>
          <w:bdr w:val="none" w:sz="0" w:space="0" w:color="auto"/>
          <w:lang w:val="it-IT" w:bidi="it-IT"/>
          <w14:ligatures w14:val="standardContextual"/>
        </w:rPr>
        <w:t>(</w:t>
      </w:r>
      <w:r w:rsidRPr="00F23908">
        <w:rPr>
          <w:rFonts w:eastAsia="Aptos"/>
          <w:i/>
          <w:iCs/>
          <w:kern w:val="2"/>
          <w:bdr w:val="none" w:sz="0" w:space="0" w:color="auto"/>
          <w:lang w:val="it-IT" w:bidi="it-IT"/>
          <w14:ligatures w14:val="standardContextual"/>
        </w:rPr>
        <w:t>Formazione in materia di IA delle università, degli enti pubblici di ricerca e delle istituzioni AFAM</w:t>
      </w:r>
      <w:r>
        <w:rPr>
          <w:rFonts w:eastAsia="Aptos"/>
          <w:i/>
          <w:iCs/>
          <w:kern w:val="2"/>
          <w:bdr w:val="none" w:sz="0" w:space="0" w:color="auto"/>
          <w:lang w:val="it-IT" w:bidi="it-IT"/>
          <w14:ligatures w14:val="standardContextual"/>
        </w:rPr>
        <w:t>)</w:t>
      </w:r>
      <w:r w:rsidR="00CA0D47" w:rsidRPr="00B37AAD">
        <w:rPr>
          <w:bCs/>
          <w:color w:val="000000" w:themeColor="text1"/>
          <w:lang w:val="it-IT" w:bidi="it-IT"/>
        </w:rPr>
        <w:t>,</w:t>
      </w:r>
      <w:r w:rsidR="00CA0D47" w:rsidRPr="00B37AAD">
        <w:rPr>
          <w:b/>
          <w:color w:val="000000" w:themeColor="text1"/>
          <w:lang w:val="it-IT" w:bidi="it-IT"/>
        </w:rPr>
        <w:t xml:space="preserve"> </w:t>
      </w:r>
      <w:r w:rsidR="00CA0D47" w:rsidRPr="00B37AAD">
        <w:rPr>
          <w:rFonts w:eastAsia="Times New Roman"/>
          <w:b/>
          <w:bCs/>
          <w:lang w:val="it-IT" w:eastAsia="it-IT"/>
        </w:rPr>
        <w:t>comma 1</w:t>
      </w:r>
      <w:r w:rsidR="00CA0D47" w:rsidRPr="00B37AAD">
        <w:rPr>
          <w:b/>
          <w:color w:val="000000" w:themeColor="text1"/>
          <w:lang w:val="it-IT" w:bidi="it-IT"/>
        </w:rPr>
        <w:t>,</w:t>
      </w:r>
      <w:r w:rsidR="00CA0D47" w:rsidRPr="00B37AAD">
        <w:rPr>
          <w:color w:val="000000" w:themeColor="text1"/>
          <w:lang w:val="it-IT" w:bidi="it-IT"/>
        </w:rPr>
        <w:t xml:space="preserve"> concerne i percorsi di alfabetizzazione e formazione in materia di strumenti di intelligenza artificiale. Si rappresenta che la previsione risulta priva di effetti finanziari e non determina, pertanto, nuovi o maggiori oneri a carico della finanza pubblica, trattandosi di attività che le università, gli enti pubblici di ricerca e le AFAM potranno attuare avvalendosi delle risorse umane, strumentali e finanziarie disponibili a legislazione vigente nei propri bilanci.</w:t>
      </w:r>
    </w:p>
    <w:p w14:paraId="07B5F7CA"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 xml:space="preserve">Inoltre, si prevede al </w:t>
      </w:r>
      <w:r w:rsidRPr="00B37AAD">
        <w:rPr>
          <w:rFonts w:eastAsia="Times New Roman"/>
          <w:b/>
          <w:bCs/>
          <w:lang w:val="it-IT" w:eastAsia="it-IT"/>
        </w:rPr>
        <w:t>comma 2</w:t>
      </w:r>
      <w:r w:rsidRPr="00B37AAD">
        <w:rPr>
          <w:color w:val="000000" w:themeColor="text1"/>
          <w:lang w:val="it-IT" w:bidi="it-IT"/>
        </w:rPr>
        <w:t xml:space="preserve"> che le attività di alfabetizzazione e formazione specificamente rivolte ai professionisti, in tema di uso responsabile delle tecnologie di intelligenza artificiale, possono essere realizzate da ordini professionali o associazioni di categoria anche in convenzione con le università, gli enti pubblici di ricerca e le istituzioni AFAM.</w:t>
      </w:r>
    </w:p>
    <w:p w14:paraId="6AEFC205" w14:textId="77777777" w:rsidR="00CA0D47" w:rsidRPr="00B37AAD" w:rsidRDefault="00CA0D47" w:rsidP="00365E22">
      <w:pPr>
        <w:tabs>
          <w:tab w:val="left" w:pos="426"/>
        </w:tabs>
        <w:spacing w:after="60" w:line="276" w:lineRule="auto"/>
        <w:jc w:val="both"/>
        <w:rPr>
          <w:b/>
          <w:color w:val="000000" w:themeColor="text1"/>
          <w:lang w:val="it-IT" w:bidi="it-IT"/>
        </w:rPr>
      </w:pPr>
      <w:r w:rsidRPr="00B37AAD">
        <w:rPr>
          <w:color w:val="000000" w:themeColor="text1"/>
          <w:lang w:val="it-IT" w:bidi="it-IT"/>
        </w:rPr>
        <w:t xml:space="preserve">Si dispone, in fine, al </w:t>
      </w:r>
      <w:r w:rsidRPr="00B37AAD">
        <w:rPr>
          <w:rFonts w:eastAsia="Times New Roman"/>
          <w:b/>
          <w:bCs/>
          <w:lang w:val="it-IT" w:eastAsia="it-IT"/>
        </w:rPr>
        <w:t>comma 3</w:t>
      </w:r>
      <w:r w:rsidRPr="00B37AAD">
        <w:rPr>
          <w:rFonts w:eastAsia="Times New Roman"/>
          <w:lang w:val="it-IT" w:eastAsia="it-IT"/>
        </w:rPr>
        <w:t>,</w:t>
      </w:r>
      <w:r w:rsidRPr="00B37AAD">
        <w:rPr>
          <w:color w:val="000000" w:themeColor="text1"/>
          <w:lang w:val="it-IT" w:bidi="it-IT"/>
        </w:rPr>
        <w:t xml:space="preserve"> che </w:t>
      </w:r>
      <w:r w:rsidRPr="00B37AAD">
        <w:rPr>
          <w:lang w:val="it-IT" w:bidi="it-IT"/>
        </w:rPr>
        <w:t xml:space="preserve">l’impiego di professori, ricercatori e tecnologi nelle attività di cui al presente articolo costituisce elemento di valutazione </w:t>
      </w:r>
      <w:r w:rsidRPr="00B37AAD">
        <w:rPr>
          <w:bCs/>
          <w:lang w:val="it-IT" w:bidi="it-IT"/>
        </w:rPr>
        <w:t>della carriera scientifica.</w:t>
      </w:r>
    </w:p>
    <w:p w14:paraId="0AF31828"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b/>
          <w:bCs/>
          <w:color w:val="000000" w:themeColor="text1"/>
          <w:lang w:val="it-IT" w:bidi="it-IT"/>
        </w:rPr>
        <w:t>Sotto il profilo finanziario si conferma anche in questo caso l’assenza di effetti negativi per la finanza pubblica in quanto l’onere dell’alfabetizzazione e della formazione specifica sui sistemi di intelligenza artificiale è posto interamente a carico dei singoli professionisti, i quali provvederanno autonomamente al proprio aggiornamento, anche ai fini delle verifiche del proprio ordine professionale</w:t>
      </w:r>
      <w:r w:rsidRPr="00B37AAD">
        <w:rPr>
          <w:color w:val="000000" w:themeColor="text1"/>
          <w:lang w:val="it-IT" w:bidi="it-IT"/>
        </w:rPr>
        <w:t xml:space="preserve">. </w:t>
      </w:r>
    </w:p>
    <w:p w14:paraId="2AF25E05" w14:textId="77777777" w:rsidR="00CA0D47" w:rsidRPr="00B37AAD" w:rsidRDefault="00CA0D47" w:rsidP="00365E22">
      <w:pPr>
        <w:tabs>
          <w:tab w:val="left" w:pos="426"/>
        </w:tabs>
        <w:spacing w:after="60" w:line="276" w:lineRule="auto"/>
        <w:jc w:val="both"/>
        <w:rPr>
          <w:b/>
          <w:color w:val="000000" w:themeColor="text1"/>
          <w:lang w:val="it-IT" w:bidi="it-IT"/>
        </w:rPr>
      </w:pPr>
    </w:p>
    <w:p w14:paraId="3BE913F0" w14:textId="4E378C27" w:rsidR="00CA0D47" w:rsidRPr="00B37AAD" w:rsidRDefault="00741185" w:rsidP="00365E22">
      <w:pPr>
        <w:tabs>
          <w:tab w:val="left" w:pos="426"/>
        </w:tabs>
        <w:spacing w:after="60" w:line="276" w:lineRule="auto"/>
        <w:jc w:val="both"/>
        <w:rPr>
          <w:color w:val="000000" w:themeColor="text1"/>
          <w:lang w:val="it-IT" w:bidi="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Pr>
          <w:rFonts w:eastAsia="Aptos"/>
          <w:b/>
          <w:bCs/>
          <w:kern w:val="2"/>
          <w:bdr w:val="none" w:sz="0" w:space="0" w:color="auto"/>
          <w:lang w:val="it-IT"/>
          <w14:ligatures w14:val="standardContextual"/>
        </w:rPr>
        <w:t>44</w:t>
      </w:r>
      <w:r w:rsidRPr="00107E5A">
        <w:rPr>
          <w:rFonts w:eastAsia="Times New Roman"/>
          <w:b/>
          <w:bCs/>
          <w:color w:val="0000FF"/>
          <w:kern w:val="2"/>
          <w:bdr w:val="none" w:sz="0" w:space="0" w:color="auto"/>
          <w:lang w:val="it-IT"/>
          <w14:ligatures w14:val="standardContextual"/>
        </w:rPr>
        <w:t xml:space="preserve"> </w:t>
      </w:r>
      <w:r w:rsidRPr="00537CD4">
        <w:rPr>
          <w:rFonts w:eastAsia="Aptos"/>
          <w:kern w:val="2"/>
          <w:bdr w:val="none" w:sz="0" w:space="0" w:color="auto"/>
          <w:lang w:val="it-IT"/>
          <w14:ligatures w14:val="standardContextual"/>
        </w:rPr>
        <w:t>(</w:t>
      </w:r>
      <w:r w:rsidRPr="00537CD4">
        <w:rPr>
          <w:rFonts w:eastAsia="Aptos"/>
          <w:i/>
          <w:iCs/>
          <w:kern w:val="2"/>
          <w:bdr w:val="none" w:sz="0" w:space="0" w:color="auto"/>
          <w:lang w:val="it-IT"/>
          <w14:ligatures w14:val="standardContextual"/>
        </w:rPr>
        <w:t>Integrazione di attività formative nei corsi dell’istruzione superiore</w:t>
      </w:r>
      <w:r w:rsidRPr="00537CD4">
        <w:rPr>
          <w:rFonts w:eastAsia="Aptos"/>
          <w:i/>
          <w:iCs/>
          <w:color w:val="FF0000"/>
          <w:bdr w:val="none" w:sz="0" w:space="0" w:color="auto"/>
          <w:lang w:val="it-IT"/>
          <w14:ligatures w14:val="standardContextual"/>
        </w:rPr>
        <w:t xml:space="preserve"> </w:t>
      </w:r>
      <w:r w:rsidRPr="00537CD4">
        <w:rPr>
          <w:rFonts w:eastAsia="Aptos"/>
          <w:i/>
          <w:iCs/>
          <w:kern w:val="2"/>
          <w:bdr w:val="none" w:sz="0" w:space="0" w:color="auto"/>
          <w:lang w:val="it-IT"/>
          <w14:ligatures w14:val="standardContextual"/>
        </w:rPr>
        <w:t>e negli ITS Academy</w:t>
      </w:r>
      <w:r w:rsidRPr="00537CD4">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B37AAD">
        <w:rPr>
          <w:color w:val="000000" w:themeColor="text1"/>
          <w:lang w:val="it-IT" w:bidi="it-IT"/>
        </w:rPr>
        <w:t>riguarda la promozione da parte delle università e delle istituzioni AFAM di attività formative finalizzate alla comprensione tecnica dei sistemi di intelligenza artificiale, al loro utilizzo sicuro e consapevole e alla corretta interpretazione dei risultati degli stessi, nonché una formazione integrata dei profili tecnici, giuridici, funzionali, etici e di tutela dei diritti fondamentali della persona connessi all’uso di sistemi di intelligenza artificiale.</w:t>
      </w:r>
    </w:p>
    <w:p w14:paraId="77AEBD32"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Si fa presente che le istituzioni universitarie e le AFAM, nell’ambito della propria autonomia regolamentare, organizzativa e finanziaria, provvedono all’attuazione delle disposizioni previste con le risorse umane, strumentali e finanziarie disponibili nel proprio bilancio, garantendo, così, la neutralità finanziaria delle disposizioni.</w:t>
      </w:r>
    </w:p>
    <w:p w14:paraId="059D0D4C"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Inoltre, si rinvia ad un decreto del Ministro dell'università e della ricerca, sentita l’Agenzia nazionale di valutazione del sistema universitario (ANVUR), per la definizione delle modalità operative dell’attività di monitoraggio annuale sull’attuazione delle predette norme. Le disposizioni sono attuabili nell’ambito delle ordinarie attività svolte per assicurare la qualità dell’offerta formativa come definita dalle università in base all’autonomia didattica riconosciuta nel rispetto dei contenuti stabiliti a livello nazionale dalle classi di laurea. A conferma della sostenibilità economico-finanziaria, si fa presente che, trattandosi di disposizioni di carattere ordinamentale, non si rilevano impatti sui saldi di finanza pubblica.</w:t>
      </w:r>
    </w:p>
    <w:p w14:paraId="7513BFE6" w14:textId="20C247C1" w:rsidR="00CA0D47" w:rsidRPr="00A124E2" w:rsidRDefault="00CA0D47" w:rsidP="00365E22">
      <w:pPr>
        <w:tabs>
          <w:tab w:val="left" w:pos="426"/>
        </w:tabs>
        <w:spacing w:after="60" w:line="276" w:lineRule="auto"/>
        <w:jc w:val="both"/>
        <w:rPr>
          <w:color w:val="000000" w:themeColor="text1"/>
          <w:lang w:val="it-IT" w:bidi="it-IT"/>
        </w:rPr>
      </w:pPr>
      <w:r w:rsidRPr="00A124E2">
        <w:rPr>
          <w:color w:val="000000" w:themeColor="text1"/>
          <w:lang w:val="it-IT" w:bidi="it-IT"/>
        </w:rPr>
        <w:lastRenderedPageBreak/>
        <w:t xml:space="preserve">Infine, la disposizione di cui al comma 7 è volta a valorizzare il ruolo degli ITS </w:t>
      </w:r>
      <w:r w:rsidRPr="00A124E2">
        <w:rPr>
          <w:i/>
          <w:iCs/>
          <w:color w:val="000000" w:themeColor="text1"/>
          <w:lang w:val="it-IT" w:bidi="it-IT"/>
        </w:rPr>
        <w:t>Academy</w:t>
      </w:r>
      <w:r w:rsidRPr="00A124E2">
        <w:rPr>
          <w:color w:val="000000" w:themeColor="text1"/>
          <w:lang w:val="it-IT" w:bidi="it-IT"/>
        </w:rPr>
        <w:t xml:space="preserve"> e, in via prioritaria, degli ITS </w:t>
      </w:r>
      <w:r w:rsidRPr="00A124E2">
        <w:rPr>
          <w:i/>
          <w:iCs/>
          <w:color w:val="000000" w:themeColor="text1"/>
          <w:lang w:val="it-IT" w:bidi="it-IT"/>
        </w:rPr>
        <w:t>Academy</w:t>
      </w:r>
      <w:r w:rsidRPr="00A124E2">
        <w:rPr>
          <w:color w:val="000000" w:themeColor="text1"/>
          <w:lang w:val="it-IT" w:bidi="it-IT"/>
        </w:rPr>
        <w:t xml:space="preserve"> afferenti all’Area tecnologica “</w:t>
      </w:r>
      <w:r w:rsidRPr="00A124E2">
        <w:rPr>
          <w:i/>
          <w:iCs/>
          <w:color w:val="000000" w:themeColor="text1"/>
          <w:lang w:val="it-IT" w:bidi="it-IT"/>
        </w:rPr>
        <w:t>Tecnologie dell’informazione, della comunicazione e dei dati</w:t>
      </w:r>
      <w:r w:rsidRPr="00A124E2">
        <w:rPr>
          <w:color w:val="000000" w:themeColor="text1"/>
          <w:lang w:val="it-IT" w:bidi="it-IT"/>
        </w:rPr>
        <w:t xml:space="preserve">”, quale segmento del sistema terziario di istruzione tecnologica superiore fondato sull’integrazione tra formazione, innovazione e fabbisogni del sistema produttivo. La disposizione, in coerenza con le figure professionali nazionali di riferimento e nel rispetto delle competenze regionali in materia di programmazione dell’offerta formativa, è finalizzata a promuovere lo sviluppo di competenze specialistiche connesse all’impiego dell’intelligenza artificiale nei contesti ad alta intensità tecnologica. In tale prospettiva, l’eventuale attivazione di percorsi o moduli formativi dedicati rientra nell’autonomia organizzativa e didattica degli ITS </w:t>
      </w:r>
      <w:r w:rsidRPr="00A124E2">
        <w:rPr>
          <w:i/>
          <w:iCs/>
          <w:color w:val="000000" w:themeColor="text1"/>
          <w:lang w:val="it-IT" w:bidi="it-IT"/>
        </w:rPr>
        <w:t>Academy</w:t>
      </w:r>
      <w:r w:rsidRPr="00A124E2">
        <w:rPr>
          <w:color w:val="000000" w:themeColor="text1"/>
          <w:lang w:val="it-IT" w:bidi="it-IT"/>
        </w:rPr>
        <w:t xml:space="preserve"> e, pertanto, la disposizione non genera nuovi o maggiori oneri a carico della finanza pubblica, in quanto la stessa è esercitabile nei limiti delle risorse umane, strumentali e finanziarie disponibili a legislazione vigente, nonché nell’ambito dei finanziamenti già previsti dalla normativa vigente per il funzionamento del sistema ITS </w:t>
      </w:r>
      <w:r w:rsidRPr="00A124E2">
        <w:rPr>
          <w:i/>
          <w:iCs/>
          <w:color w:val="000000" w:themeColor="text1"/>
          <w:lang w:val="it-IT" w:bidi="it-IT"/>
        </w:rPr>
        <w:t>Academy.</w:t>
      </w:r>
    </w:p>
    <w:p w14:paraId="11B5C99A" w14:textId="77777777" w:rsidR="00CA0D47" w:rsidRPr="00A124E2" w:rsidRDefault="00CA0D47" w:rsidP="00365E22">
      <w:pPr>
        <w:tabs>
          <w:tab w:val="left" w:pos="426"/>
        </w:tabs>
        <w:spacing w:after="60" w:line="276" w:lineRule="auto"/>
        <w:jc w:val="both"/>
        <w:rPr>
          <w:rFonts w:eastAsia="Times New Roman"/>
          <w:lang w:val="it-IT" w:eastAsia="it-IT"/>
        </w:rPr>
      </w:pPr>
      <w:r w:rsidRPr="00A124E2">
        <w:rPr>
          <w:rFonts w:eastAsia="Times New Roman"/>
          <w:lang w:val="it-IT" w:eastAsia="it-IT"/>
        </w:rPr>
        <w:t>Il comma 8 reca la clausola di invarianza finanziaria, precisando che alle attività di cui al presente articolo si provvede nei limiti delle risorse umane, strumentali e finanziarie disponibili a legislazione vigente, senza nuovi o ulteriori oneri a carico della finanza pubblica.</w:t>
      </w:r>
    </w:p>
    <w:p w14:paraId="0603D3EB" w14:textId="77777777" w:rsidR="00CA0D47" w:rsidRPr="00B37AAD" w:rsidRDefault="00CA0D47" w:rsidP="00365E22">
      <w:pPr>
        <w:tabs>
          <w:tab w:val="left" w:pos="426"/>
        </w:tabs>
        <w:spacing w:after="60" w:line="276" w:lineRule="auto"/>
        <w:jc w:val="both"/>
        <w:rPr>
          <w:color w:val="000000" w:themeColor="text1"/>
          <w:lang w:val="it-IT" w:bidi="it-IT"/>
        </w:rPr>
      </w:pPr>
    </w:p>
    <w:p w14:paraId="10D126BD" w14:textId="64D242CC" w:rsidR="00CA0D47" w:rsidRPr="00B37AAD" w:rsidRDefault="00702938" w:rsidP="00365E22">
      <w:pPr>
        <w:tabs>
          <w:tab w:val="left" w:pos="426"/>
        </w:tabs>
        <w:spacing w:after="60" w:line="276" w:lineRule="auto"/>
        <w:jc w:val="both"/>
        <w:rPr>
          <w:color w:val="000000" w:themeColor="text1"/>
          <w:lang w:val="it-IT" w:bidi="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Pr>
          <w:rFonts w:eastAsia="Aptos"/>
          <w:b/>
          <w:bCs/>
          <w:kern w:val="2"/>
          <w:bdr w:val="none" w:sz="0" w:space="0" w:color="auto"/>
          <w:lang w:val="it-IT"/>
          <w14:ligatures w14:val="standardContextual"/>
        </w:rPr>
        <w:t>45</w:t>
      </w:r>
      <w:r w:rsidRPr="00107E5A">
        <w:rPr>
          <w:rFonts w:eastAsia="Times New Roman"/>
          <w:b/>
          <w:bCs/>
          <w:color w:val="0000FF"/>
          <w:kern w:val="2"/>
          <w:bdr w:val="none" w:sz="0" w:space="0" w:color="auto"/>
          <w:lang w:val="it-IT"/>
          <w14:ligatures w14:val="standardContextual"/>
        </w:rPr>
        <w:t xml:space="preserve"> </w:t>
      </w:r>
      <w:r w:rsidRPr="00537CD4">
        <w:rPr>
          <w:rFonts w:eastAsia="Aptos"/>
          <w:kern w:val="2"/>
          <w:bdr w:val="none" w:sz="0" w:space="0" w:color="auto"/>
          <w:lang w:val="it-IT"/>
          <w14:ligatures w14:val="standardContextual"/>
        </w:rPr>
        <w:t>(</w:t>
      </w:r>
      <w:r w:rsidRPr="00537CD4">
        <w:rPr>
          <w:rFonts w:eastAsia="Aptos"/>
          <w:i/>
          <w:iCs/>
          <w:kern w:val="2"/>
          <w:bdr w:val="none" w:sz="0" w:space="0" w:color="auto"/>
          <w:lang w:val="it-IT"/>
          <w14:ligatures w14:val="standardContextual"/>
        </w:rPr>
        <w:t>Valorizzazione delle attività di ricerca e di trasferimento tecnologico svolte dalle istituzioni della formazione superiore e della ricerca</w:t>
      </w:r>
      <w:r w:rsidRPr="00537CD4">
        <w:rPr>
          <w:rFonts w:eastAsia="Aptos"/>
          <w:i/>
          <w:iCs/>
          <w:color w:val="FF0000"/>
          <w:bdr w:val="none" w:sz="0" w:space="0" w:color="auto"/>
          <w:lang w:val="it-IT"/>
          <w14:ligatures w14:val="standardContextual"/>
        </w:rPr>
        <w:t xml:space="preserve"> </w:t>
      </w:r>
      <w:r w:rsidRPr="00537CD4">
        <w:rPr>
          <w:rFonts w:eastAsia="Aptos"/>
          <w:i/>
          <w:iCs/>
          <w:kern w:val="2"/>
          <w:bdr w:val="none" w:sz="0" w:space="0" w:color="auto"/>
          <w:lang w:val="it-IT"/>
          <w14:ligatures w14:val="standardContextual"/>
        </w:rPr>
        <w:t>e dagli ITS Academy</w:t>
      </w:r>
      <w:r w:rsidRPr="00537CD4">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Pr>
          <w:rFonts w:eastAsia="Aptos"/>
          <w:color w:val="000000"/>
          <w:bdr w:val="none" w:sz="0" w:space="0" w:color="auto"/>
          <w:lang w:val="it-IT" w:bidi="it-IT"/>
          <w14:ligatures w14:val="standardContextual"/>
        </w:rPr>
        <w:t xml:space="preserve">detta </w:t>
      </w:r>
      <w:r w:rsidR="00CA0D47" w:rsidRPr="00B37AAD">
        <w:rPr>
          <w:color w:val="000000" w:themeColor="text1"/>
          <w:lang w:val="it-IT" w:bidi="it-IT"/>
        </w:rPr>
        <w:t>disposizioni in materia di valorizzazione delle attività di ricerca e di trasferimento tecnologico in materia di intelligenza artificiale svolte da università, istituzioni dell’AFAM, ITS Academy ed enti pubblici di ricerca in applicazione del principio di cui all’articolo 24, comma 2, lettera l) della legge n. 132 del 2025. Le misure sono finalizzate al perseguimento di obiettivi chiave, tra i quali promuovere il coinvolgimento del sistema dell’università e della ricerca nella promozione, nella realizzazione e nell’utilizzo di spazi di sperimentazione normativa in collaborazione con il mondo produttivo, nonché incentivare le attività di supporto e semplificare gli strumenti di collaborazione del sistema dell’università e della ricerca e degli ITS Academy con le autorità nazionali competenti per l’attuazione delle norme in materia di intelligenza artificiale.</w:t>
      </w:r>
    </w:p>
    <w:p w14:paraId="42C7EDFC"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Il quadro normativo delinea interventi sull’ordinamento didattico vigente, volti a valorizzare sia le competenze erogate nei corsi di studio, sia il contributo del sistema della formazione superiore e della ricerca pubblica in materia di intelligenza artificiale. A tal fine si prevede da un lato l’impiego di personale esperto e delle infrastrutture in dotazione, in sinergia con l’introduzione di procedure semplificate per rafforzare la collaborazione tra il mondo accademico e della ricerca e le imprese e il settore privato.</w:t>
      </w:r>
    </w:p>
    <w:p w14:paraId="0B01C7C6"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 xml:space="preserve">Alla luce di quanto sopra esposto, si conferma la neutralità finanziaria delle misure in quanto gli interventi saranno assicurati compatibilmente con le risorse finanziarie, umane e strumentali a disposizione ed entro i limiti delle disponibilità di bilancio delle istituzioni della formazione superiore e della ricerca. </w:t>
      </w:r>
    </w:p>
    <w:p w14:paraId="5E59A7A2" w14:textId="77777777" w:rsidR="00CA0D47" w:rsidRPr="00B37AAD" w:rsidRDefault="00CA0D47" w:rsidP="00365E22">
      <w:pPr>
        <w:tabs>
          <w:tab w:val="left" w:pos="426"/>
        </w:tabs>
        <w:spacing w:after="60" w:line="276" w:lineRule="auto"/>
        <w:jc w:val="both"/>
        <w:rPr>
          <w:b/>
          <w:bCs/>
          <w:color w:val="000000" w:themeColor="text1"/>
          <w:lang w:val="it-IT" w:bidi="it-IT"/>
        </w:rPr>
      </w:pPr>
      <w:r w:rsidRPr="00B37AAD">
        <w:rPr>
          <w:color w:val="000000" w:themeColor="text1"/>
          <w:lang w:val="it-IT" w:bidi="it-IT"/>
        </w:rPr>
        <w:t xml:space="preserve">Il </w:t>
      </w:r>
      <w:r w:rsidRPr="00B37AAD">
        <w:rPr>
          <w:rFonts w:eastAsia="Times New Roman"/>
          <w:b/>
          <w:bCs/>
          <w:lang w:val="it-IT" w:eastAsia="it-IT"/>
        </w:rPr>
        <w:t>comma 3</w:t>
      </w:r>
      <w:r w:rsidRPr="00B37AAD">
        <w:rPr>
          <w:color w:val="000000" w:themeColor="text1"/>
          <w:lang w:val="it-IT" w:bidi="it-IT"/>
        </w:rPr>
        <w:t xml:space="preserve"> prevede la possibilità di assegnazione temporanea di personale (professori, ricercatori, tecnologi e personale tecnico amministrativo addetto alle attività di ricerca e trasferimento tecnologico) delle istituzioni della formazione superiore e della ricerca presso le Autorità nazionali per l’intelligenza artificiale di cui all’articolo 20 della citata legge n. 132 del 2025, n. 132, </w:t>
      </w:r>
      <w:r w:rsidRPr="00B37AAD">
        <w:rPr>
          <w:bCs/>
          <w:color w:val="000000" w:themeColor="text1"/>
          <w:lang w:val="it-IT" w:bidi="it-IT"/>
        </w:rPr>
        <w:t>per lo svolgimento di attività di supporto alla realizzazione e di utilizzo di spazi di sperimentazione normativa</w:t>
      </w:r>
      <w:r w:rsidRPr="00B37AAD">
        <w:rPr>
          <w:color w:val="000000" w:themeColor="text1"/>
          <w:lang w:val="it-IT" w:bidi="it-IT"/>
        </w:rPr>
        <w:t xml:space="preserve">. Si precisa che l’assegnazione potrà avvenire sulla base di convenzioni tra le Autorità </w:t>
      </w:r>
      <w:r w:rsidRPr="00B37AAD">
        <w:rPr>
          <w:color w:val="000000" w:themeColor="text1"/>
          <w:lang w:val="it-IT" w:bidi="it-IT"/>
        </w:rPr>
        <w:lastRenderedPageBreak/>
        <w:t>nazionali e i soggetti, che regolano le funzioni, le modalità di inserimento e l'attribuzione di un eventuale compenso aggiuntivo da parte delle predette autorità. In merito a tale previsione, occorre ribadire che gli interventi proposti saranno attuati nell’ambito della autonomia delle singole università, degli enti pubblici di ricerca e delle istituzioni AFAM sulla base ed entro i limiti delle rispettive disponibilità di bilancio e con i medesimi strumenti di finanziamento già in vigore</w:t>
      </w:r>
      <w:r w:rsidRPr="00B37AAD">
        <w:rPr>
          <w:b/>
          <w:bCs/>
          <w:color w:val="000000" w:themeColor="text1"/>
          <w:lang w:val="it-IT" w:bidi="it-IT"/>
        </w:rPr>
        <w:t>. Le disposizioni risultano, pertanto, neutre dal punto di vista finanziario.</w:t>
      </w:r>
    </w:p>
    <w:p w14:paraId="3080CE3D"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 xml:space="preserve">I </w:t>
      </w:r>
      <w:r w:rsidRPr="00B37AAD">
        <w:rPr>
          <w:rFonts w:eastAsia="Times New Roman"/>
          <w:b/>
          <w:bCs/>
          <w:lang w:val="it-IT" w:eastAsia="it-IT"/>
        </w:rPr>
        <w:t>commi 4 e 5</w:t>
      </w:r>
      <w:r w:rsidRPr="00B37AAD">
        <w:rPr>
          <w:color w:val="000000" w:themeColor="text1"/>
          <w:lang w:val="it-IT" w:bidi="it-IT"/>
        </w:rPr>
        <w:t xml:space="preserve"> introducono misure specifiche rivolte ai professori e ricercatori a tempo pieno, nonché per ricercatori e tecnologi degli enti pubblici di ricerca e per il personale delle istituzioni AFAM al fine di consolidare la collaborazione e la condivisione di buone pratiche tra le università, gli enti di ricerca pubblici e le AFAM e la pubblica amministrazione</w:t>
      </w:r>
      <w:r w:rsidRPr="00B37AAD">
        <w:rPr>
          <w:bCs/>
          <w:color w:val="000000" w:themeColor="text1"/>
          <w:lang w:val="it-IT" w:bidi="it-IT"/>
        </w:rPr>
        <w:t xml:space="preserve">, </w:t>
      </w:r>
      <w:r w:rsidRPr="00B37AAD">
        <w:rPr>
          <w:color w:val="000000" w:themeColor="text1"/>
          <w:lang w:val="it-IT" w:bidi="it-IT"/>
        </w:rPr>
        <w:t>nel campo dell’intelligenza artificiale.</w:t>
      </w:r>
    </w:p>
    <w:p w14:paraId="5874D293" w14:textId="77777777" w:rsidR="00CA0D47" w:rsidRPr="00B37AAD" w:rsidRDefault="00CA0D47" w:rsidP="00365E22">
      <w:pPr>
        <w:tabs>
          <w:tab w:val="left" w:pos="426"/>
        </w:tabs>
        <w:spacing w:after="60" w:line="276" w:lineRule="auto"/>
        <w:jc w:val="both"/>
        <w:rPr>
          <w:bCs/>
          <w:color w:val="000000" w:themeColor="text1"/>
          <w:lang w:val="it-IT" w:bidi="it-IT"/>
        </w:rPr>
      </w:pPr>
      <w:r w:rsidRPr="00B37AAD">
        <w:rPr>
          <w:bCs/>
          <w:color w:val="000000" w:themeColor="text1"/>
          <w:lang w:val="it-IT" w:bidi="it-IT"/>
        </w:rPr>
        <w:t>Anche in questo caso, le norme sono insuscettibili di generare nuovi o maggiori oneri a carico della finanza pubblica, in quanto, da una parte, l’assegnazione presso le Autorità nazionali per l’intelligenza artificiale avviene sulla base di convenzioni, con mantenimento del trattamento economico percepito in presenza delle necessarie risorse disponibili a bilancio e fatta salva la possibilità eventuale di riconoscere un compenso aggiuntivo a carico delle autorità.</w:t>
      </w:r>
    </w:p>
    <w:p w14:paraId="14BF3822"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 xml:space="preserve">Il </w:t>
      </w:r>
      <w:r w:rsidRPr="00B37AAD">
        <w:rPr>
          <w:rFonts w:eastAsia="Times New Roman"/>
          <w:b/>
          <w:bCs/>
          <w:lang w:val="it-IT" w:eastAsia="it-IT"/>
        </w:rPr>
        <w:t>comma 6</w:t>
      </w:r>
      <w:r w:rsidRPr="00B37AAD">
        <w:rPr>
          <w:color w:val="000000" w:themeColor="text1"/>
          <w:lang w:val="it-IT" w:bidi="it-IT"/>
        </w:rPr>
        <w:t xml:space="preserve"> mira a valorizzare le attività di ricerca e di trasferimento tecnologico attraverso convenzioni con le imprese per incentivare la cooperazione e promuovere la creazione di </w:t>
      </w:r>
      <w:r w:rsidRPr="00B37AAD">
        <w:rPr>
          <w:i/>
          <w:color w:val="000000" w:themeColor="text1"/>
          <w:lang w:val="it-IT" w:bidi="it-IT"/>
        </w:rPr>
        <w:t>spin-off</w:t>
      </w:r>
      <w:r w:rsidRPr="00B37AAD">
        <w:rPr>
          <w:color w:val="000000" w:themeColor="text1"/>
          <w:lang w:val="it-IT" w:bidi="it-IT"/>
        </w:rPr>
        <w:t xml:space="preserve"> universitari e di </w:t>
      </w:r>
      <w:r w:rsidRPr="00B37AAD">
        <w:rPr>
          <w:i/>
          <w:color w:val="000000" w:themeColor="text1"/>
          <w:lang w:val="it-IT" w:bidi="it-IT"/>
        </w:rPr>
        <w:t>start-up</w:t>
      </w:r>
      <w:r w:rsidRPr="00B37AAD">
        <w:rPr>
          <w:color w:val="000000" w:themeColor="text1"/>
          <w:lang w:val="it-IT" w:bidi="it-IT"/>
        </w:rPr>
        <w:t xml:space="preserve">, anche mediante il co-finanziamento di dottorati di ricerca in materia di intelligenza artificiale. </w:t>
      </w:r>
    </w:p>
    <w:p w14:paraId="06D924F4" w14:textId="77777777" w:rsidR="00CA0D47" w:rsidRPr="00B37AAD" w:rsidRDefault="00CA0D47" w:rsidP="00365E22">
      <w:pPr>
        <w:tabs>
          <w:tab w:val="left" w:pos="426"/>
        </w:tabs>
        <w:spacing w:after="60" w:line="276" w:lineRule="auto"/>
        <w:jc w:val="both"/>
        <w:rPr>
          <w:b/>
          <w:bCs/>
          <w:color w:val="000000" w:themeColor="text1"/>
          <w:lang w:val="it-IT" w:bidi="it-IT"/>
        </w:rPr>
      </w:pPr>
      <w:r w:rsidRPr="00B37AAD">
        <w:rPr>
          <w:b/>
          <w:bCs/>
          <w:color w:val="000000" w:themeColor="text1"/>
          <w:lang w:val="it-IT" w:bidi="it-IT"/>
        </w:rPr>
        <w:t xml:space="preserve">Il comma 7 </w:t>
      </w:r>
      <w:r w:rsidRPr="00A124E2">
        <w:rPr>
          <w:color w:val="000000" w:themeColor="text1"/>
          <w:lang w:val="it-IT" w:bidi="it-IT"/>
        </w:rPr>
        <w:t xml:space="preserve">mira a rafforzare le capacità di </w:t>
      </w:r>
      <w:r w:rsidRPr="00A124E2">
        <w:rPr>
          <w:i/>
          <w:iCs/>
          <w:color w:val="000000" w:themeColor="text1"/>
          <w:lang w:val="it-IT" w:bidi="it-IT"/>
        </w:rPr>
        <w:t>governance</w:t>
      </w:r>
      <w:r w:rsidRPr="00A124E2">
        <w:rPr>
          <w:color w:val="000000" w:themeColor="text1"/>
          <w:lang w:val="it-IT" w:bidi="it-IT"/>
        </w:rPr>
        <w:t xml:space="preserve"> degli ITS </w:t>
      </w:r>
      <w:r w:rsidRPr="00A124E2">
        <w:rPr>
          <w:i/>
          <w:iCs/>
          <w:color w:val="000000" w:themeColor="text1"/>
          <w:lang w:val="it-IT" w:bidi="it-IT"/>
        </w:rPr>
        <w:t xml:space="preserve">Academy </w:t>
      </w:r>
      <w:r w:rsidRPr="00A124E2">
        <w:rPr>
          <w:color w:val="000000" w:themeColor="text1"/>
          <w:lang w:val="it-IT" w:bidi="it-IT"/>
        </w:rPr>
        <w:t xml:space="preserve">attraverso il potenziamento delle attività di collaborazione con università, enti pubblici di ricerca e istituzioni AFAM. A tal fine, il Comitato nazionale ITS </w:t>
      </w:r>
      <w:r w:rsidRPr="00A124E2">
        <w:rPr>
          <w:i/>
          <w:iCs/>
          <w:color w:val="000000" w:themeColor="text1"/>
          <w:lang w:val="it-IT" w:bidi="it-IT"/>
        </w:rPr>
        <w:t>Academy,</w:t>
      </w:r>
      <w:r w:rsidRPr="00A124E2">
        <w:rPr>
          <w:color w:val="000000" w:themeColor="text1"/>
          <w:lang w:val="it-IT" w:bidi="it-IT"/>
        </w:rPr>
        <w:t xml:space="preserve"> di cui all’articolo 10 della legge 15 luglio 2022, n. 99, individua criteri e modalità di cooperazione istituzionale, nonché iniziative di supporto finalizzate al trasferimento di competenze specialistiche dal sistema della ricerca a quello formativo e produttivo, nel rispetto degli obiettivi e dei limiti previsti dalla normativa vigente.</w:t>
      </w:r>
    </w:p>
    <w:p w14:paraId="536B6BBF" w14:textId="71596678" w:rsidR="00CA0D47" w:rsidRDefault="00CA0D47" w:rsidP="00365E22">
      <w:pPr>
        <w:tabs>
          <w:tab w:val="left" w:pos="426"/>
        </w:tabs>
        <w:spacing w:after="60" w:line="276" w:lineRule="auto"/>
        <w:jc w:val="both"/>
        <w:rPr>
          <w:b/>
          <w:bCs/>
          <w:i/>
          <w:iCs/>
          <w:color w:val="0000FF"/>
          <w:lang w:val="it-IT" w:bidi="it-IT"/>
        </w:rPr>
      </w:pPr>
      <w:r w:rsidRPr="00B37AAD">
        <w:rPr>
          <w:b/>
          <w:bCs/>
          <w:color w:val="000000" w:themeColor="text1"/>
          <w:lang w:val="it-IT" w:bidi="it-IT"/>
        </w:rPr>
        <w:t xml:space="preserve">La disposizione non comporta nuovi o maggiori oneri a carico della finanza pubblica, in quanto le attività previste, ivi compresi i compiti attribuiti al Comitato nazionale ITS </w:t>
      </w:r>
      <w:r w:rsidRPr="00B37AAD">
        <w:rPr>
          <w:b/>
          <w:bCs/>
          <w:i/>
          <w:iCs/>
          <w:color w:val="000000" w:themeColor="text1"/>
          <w:lang w:val="it-IT" w:bidi="it-IT"/>
        </w:rPr>
        <w:t>Academy,</w:t>
      </w:r>
      <w:r w:rsidRPr="00B37AAD">
        <w:rPr>
          <w:b/>
          <w:bCs/>
          <w:color w:val="000000" w:themeColor="text1"/>
          <w:lang w:val="it-IT" w:bidi="it-IT"/>
        </w:rPr>
        <w:t xml:space="preserve"> sono svolte dagli ITS </w:t>
      </w:r>
      <w:r w:rsidRPr="00B37AAD">
        <w:rPr>
          <w:b/>
          <w:bCs/>
          <w:i/>
          <w:iCs/>
          <w:color w:val="000000" w:themeColor="text1"/>
          <w:lang w:val="it-IT" w:bidi="it-IT"/>
        </w:rPr>
        <w:t xml:space="preserve">Academy </w:t>
      </w:r>
      <w:r w:rsidRPr="00B37AAD">
        <w:rPr>
          <w:b/>
          <w:bCs/>
          <w:color w:val="000000" w:themeColor="text1"/>
          <w:lang w:val="it-IT" w:bidi="it-IT"/>
        </w:rPr>
        <w:t xml:space="preserve">nell’ambito delle funzioni istituzionali già previste dalla normativa vigente e con le risorse umane, strumentali e finanziarie disponibili a legislazione vigente. </w:t>
      </w:r>
    </w:p>
    <w:p w14:paraId="2883E4FA" w14:textId="77777777" w:rsidR="00702938" w:rsidRPr="00B37AAD" w:rsidRDefault="00702938" w:rsidP="00365E22">
      <w:pPr>
        <w:tabs>
          <w:tab w:val="left" w:pos="426"/>
        </w:tabs>
        <w:spacing w:after="60" w:line="276" w:lineRule="auto"/>
        <w:jc w:val="both"/>
        <w:rPr>
          <w:b/>
          <w:bCs/>
          <w:color w:val="000000" w:themeColor="text1"/>
          <w:lang w:val="it-IT" w:bidi="it-IT"/>
        </w:rPr>
      </w:pPr>
    </w:p>
    <w:p w14:paraId="5B1166B0"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 xml:space="preserve">I </w:t>
      </w:r>
      <w:r w:rsidRPr="00B37AAD">
        <w:rPr>
          <w:rFonts w:eastAsia="Times New Roman"/>
          <w:b/>
          <w:bCs/>
          <w:lang w:val="it-IT" w:eastAsia="it-IT"/>
        </w:rPr>
        <w:t>commi 8, 9 e 10</w:t>
      </w:r>
      <w:r w:rsidRPr="00B37AAD">
        <w:rPr>
          <w:b/>
          <w:color w:val="000000" w:themeColor="text1"/>
          <w:lang w:val="it-IT" w:bidi="it-IT"/>
        </w:rPr>
        <w:t xml:space="preserve"> </w:t>
      </w:r>
      <w:r w:rsidRPr="00B37AAD">
        <w:rPr>
          <w:color w:val="000000" w:themeColor="text1"/>
          <w:lang w:val="it-IT" w:bidi="it-IT"/>
        </w:rPr>
        <w:t>rinviano ad un decreto del</w:t>
      </w:r>
      <w:r w:rsidRPr="00B37AAD">
        <w:rPr>
          <w:bCs/>
          <w:color w:val="000000" w:themeColor="text1"/>
          <w:lang w:val="it-IT" w:bidi="it-IT"/>
        </w:rPr>
        <w:t xml:space="preserve"> Ministro dell’università e della ricerca, sentite le Autorità di cui all’articolo 20 della legge n.132 del 2025, allo scopo di </w:t>
      </w:r>
      <w:r w:rsidRPr="00B37AAD">
        <w:rPr>
          <w:color w:val="000000" w:themeColor="text1"/>
          <w:lang w:val="it-IT" w:bidi="it-IT"/>
        </w:rPr>
        <w:t xml:space="preserve">individuare e costituire dei centri di riferimento per le attività di sperimentazione normativa per l’IA, individuati tra le </w:t>
      </w:r>
      <w:r w:rsidRPr="00B37AAD">
        <w:rPr>
          <w:bCs/>
          <w:color w:val="000000" w:themeColor="text1"/>
          <w:lang w:val="it-IT" w:bidi="it-IT"/>
        </w:rPr>
        <w:t>università, gli enti pubblici di ricerca, le istituzioni AFAM, i consorzi universitari, nonché gli enti e le fondazioni di ricerca vigilati o finanziati dal Ministero dell’università e della ricerca, che intendano rendere disponibili specifiche conoscenze, infrastrutture e prodotti per la realizzazione e la gestione di spazi di sperimentazione normativa per l’IA.</w:t>
      </w:r>
    </w:p>
    <w:p w14:paraId="459D41C8" w14:textId="77777777" w:rsidR="00CA0D47" w:rsidRPr="00B37AAD" w:rsidRDefault="00CA0D47" w:rsidP="00365E22">
      <w:pPr>
        <w:tabs>
          <w:tab w:val="left" w:pos="426"/>
        </w:tabs>
        <w:spacing w:after="60" w:line="276" w:lineRule="auto"/>
        <w:jc w:val="both"/>
        <w:rPr>
          <w:color w:val="000000" w:themeColor="text1"/>
          <w:lang w:val="it-IT" w:bidi="it-IT"/>
        </w:rPr>
      </w:pPr>
      <w:r w:rsidRPr="00B37AAD">
        <w:rPr>
          <w:color w:val="000000" w:themeColor="text1"/>
          <w:lang w:val="it-IT" w:bidi="it-IT"/>
        </w:rPr>
        <w:t>Si precisa, infine, che le predette disposizioni non determinano effetti finanziari a carico della finanza pubblica in quanto le istituzioni coinvolte potranno svolgere le attività sulla base di accordi e convenzioni stipulati nell’ambito e nell’esercizio della propria autonomia regolamentare, e, in ogni caso, a valere sulle risorse finanziarie disponibili nei relativi bilanci.</w:t>
      </w:r>
    </w:p>
    <w:p w14:paraId="3CF17950" w14:textId="77777777" w:rsidR="00CA0D47" w:rsidRPr="00B37AAD" w:rsidRDefault="00CA0D47" w:rsidP="00365E22">
      <w:pPr>
        <w:tabs>
          <w:tab w:val="left" w:pos="426"/>
        </w:tabs>
        <w:spacing w:after="60" w:line="276" w:lineRule="auto"/>
        <w:jc w:val="both"/>
        <w:rPr>
          <w:color w:val="000000" w:themeColor="text1"/>
          <w:lang w:val="it-IT" w:bidi="it-IT"/>
        </w:rPr>
      </w:pPr>
    </w:p>
    <w:p w14:paraId="0B0B0ADE" w14:textId="17BA5B17" w:rsidR="0005382F" w:rsidRPr="00B37AAD" w:rsidRDefault="00B16BC8"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sidRPr="008C24A3">
        <w:rPr>
          <w:rFonts w:eastAsia="Aptos"/>
          <w:b/>
          <w:bCs/>
          <w:kern w:val="2"/>
          <w:bdr w:val="none" w:sz="0" w:space="0" w:color="auto"/>
          <w:lang w:val="it-IT"/>
          <w14:ligatures w14:val="standardContextual"/>
        </w:rPr>
        <w:t>46</w:t>
      </w:r>
      <w:r w:rsidRPr="008C24A3">
        <w:rPr>
          <w:rFonts w:eastAsia="Times New Roman"/>
          <w:b/>
          <w:bCs/>
          <w:color w:val="0000FF"/>
          <w:kern w:val="2"/>
          <w:bdr w:val="none" w:sz="0" w:space="0" w:color="auto"/>
          <w:lang w:val="it-IT"/>
          <w14:ligatures w14:val="standardContextual"/>
        </w:rPr>
        <w:t xml:space="preserve"> </w:t>
      </w:r>
      <w:r w:rsidRPr="00C85842">
        <w:rPr>
          <w:rFonts w:eastAsia="Aptos"/>
          <w:kern w:val="2"/>
          <w:bdr w:val="none" w:sz="0" w:space="0" w:color="auto"/>
          <w:lang w:val="it-IT"/>
          <w14:ligatures w14:val="standardContextual"/>
        </w:rPr>
        <w:t>(</w:t>
      </w:r>
      <w:r w:rsidRPr="00C85842">
        <w:rPr>
          <w:rFonts w:eastAsia="Aptos"/>
          <w:i/>
          <w:iCs/>
          <w:kern w:val="2"/>
          <w:bdr w:val="none" w:sz="0" w:space="0" w:color="auto"/>
          <w:lang w:val="it-IT"/>
          <w14:ligatures w14:val="standardContextual"/>
        </w:rPr>
        <w:t>Formazione in materia di intelligenza artificiale per il personale dell'amministrazione della giustizia</w:t>
      </w:r>
      <w:r w:rsidRPr="00C85842">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05382F" w:rsidRPr="00B37AAD">
        <w:rPr>
          <w:rFonts w:eastAsia="Aptos"/>
          <w:bdr w:val="none" w:sz="0" w:space="0" w:color="auto"/>
          <w:lang w:val="it-IT"/>
          <w14:ligatures w14:val="standardContextual"/>
        </w:rPr>
        <w:t xml:space="preserve">raccorda la formazione in materia di intelligenza artificiale per il personale </w:t>
      </w:r>
      <w:r w:rsidR="0005382F" w:rsidRPr="00B37AAD">
        <w:rPr>
          <w:rFonts w:eastAsia="Aptos"/>
          <w:bdr w:val="none" w:sz="0" w:space="0" w:color="auto"/>
          <w:lang w:val="it-IT"/>
          <w14:ligatures w14:val="standardContextual"/>
        </w:rPr>
        <w:lastRenderedPageBreak/>
        <w:t xml:space="preserve">dell'amministrazione della giustizia — già prevista dall'articolo 15, comma 4, della legge n. 132 del 2025 — con gli obblighi di alfabetizzazione derivanti dall'articolo 4 del regolamento (UE) 2024/1689, direttamente applicabile al Ministero quale </w:t>
      </w:r>
      <w:proofErr w:type="spellStart"/>
      <w:r w:rsidR="0005382F" w:rsidRPr="00B37AAD">
        <w:rPr>
          <w:rFonts w:eastAsia="Aptos"/>
          <w:i/>
          <w:iCs/>
          <w:bdr w:val="none" w:sz="0" w:space="0" w:color="auto"/>
          <w:lang w:val="it-IT"/>
          <w14:ligatures w14:val="standardContextual"/>
        </w:rPr>
        <w:t>deployer</w:t>
      </w:r>
      <w:proofErr w:type="spellEnd"/>
      <w:r w:rsidR="0005382F" w:rsidRPr="00B37AAD">
        <w:rPr>
          <w:rFonts w:eastAsia="Aptos"/>
          <w:bdr w:val="none" w:sz="0" w:space="0" w:color="auto"/>
          <w:lang w:val="it-IT"/>
          <w14:ligatures w14:val="standardContextual"/>
        </w:rPr>
        <w:t xml:space="preserve"> dei sistemi impiegati negli uffici giudiziari.</w:t>
      </w:r>
    </w:p>
    <w:p w14:paraId="41ACAE21" w14:textId="77777777" w:rsidR="0005382F" w:rsidRPr="00B37AAD" w:rsidRDefault="0005382F"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B37AAD">
        <w:rPr>
          <w:rFonts w:eastAsia="Aptos"/>
          <w:bdr w:val="none" w:sz="0" w:space="0" w:color="auto"/>
          <w:lang w:val="it-IT"/>
          <w14:ligatures w14:val="standardContextual"/>
        </w:rPr>
        <w:t xml:space="preserve">Il </w:t>
      </w:r>
      <w:r w:rsidRPr="00B37AAD">
        <w:rPr>
          <w:rFonts w:eastAsia="Aptos"/>
          <w:b/>
          <w:bCs/>
          <w:bdr w:val="none" w:sz="0" w:space="0" w:color="auto"/>
          <w:lang w:val="it-IT"/>
          <w14:ligatures w14:val="standardContextual"/>
        </w:rPr>
        <w:t>comma 1</w:t>
      </w:r>
      <w:r w:rsidRPr="00B37AAD">
        <w:rPr>
          <w:rFonts w:eastAsia="Aptos"/>
          <w:bdr w:val="none" w:sz="0" w:space="0" w:color="auto"/>
          <w:lang w:val="it-IT"/>
          <w14:ligatures w14:val="standardContextual"/>
        </w:rPr>
        <w:t xml:space="preserve"> specifica i contenuti dei percorsi formativi, articolandoli in profili tecnici — inclusivi delle tecniche di interrogazione e istruzione dei sistemi e dei profili di cibersicurezza — giuridici e di impatto sull'organizzazione giudiziaria e sui diritti delle persone.</w:t>
      </w:r>
    </w:p>
    <w:p w14:paraId="18A10CC5" w14:textId="77777777" w:rsidR="0005382F" w:rsidRPr="00B37AAD" w:rsidRDefault="0005382F"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B37AAD">
        <w:rPr>
          <w:rFonts w:eastAsia="Aptos"/>
          <w:bdr w:val="none" w:sz="0" w:space="0" w:color="auto"/>
          <w:lang w:val="it-IT"/>
          <w14:ligatures w14:val="standardContextual"/>
        </w:rPr>
        <w:t xml:space="preserve">Il </w:t>
      </w:r>
      <w:r w:rsidRPr="00B37AAD">
        <w:rPr>
          <w:rFonts w:eastAsia="Aptos"/>
          <w:b/>
          <w:bCs/>
          <w:bdr w:val="none" w:sz="0" w:space="0" w:color="auto"/>
          <w:lang w:val="it-IT"/>
          <w14:ligatures w14:val="standardContextual"/>
        </w:rPr>
        <w:t>comma 2</w:t>
      </w:r>
      <w:r w:rsidRPr="00B37AAD">
        <w:rPr>
          <w:rFonts w:eastAsia="Aptos"/>
          <w:bdr w:val="none" w:sz="0" w:space="0" w:color="auto"/>
          <w:lang w:val="it-IT"/>
          <w14:ligatures w14:val="standardContextual"/>
        </w:rPr>
        <w:t xml:space="preserve"> introduce il principio di differenziazione dei percorsi in relazione alle funzioni esercitate e al livello di rischio dei sistemi, in attuazione dell'articolo 4 del regolamento, e quello di aggiornamento periodico.</w:t>
      </w:r>
    </w:p>
    <w:p w14:paraId="7573A0CE" w14:textId="77777777" w:rsidR="0005382F" w:rsidRPr="00B37AAD" w:rsidRDefault="0005382F"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B37AAD">
        <w:rPr>
          <w:rFonts w:eastAsia="Aptos"/>
          <w:bdr w:val="none" w:sz="0" w:space="0" w:color="auto"/>
          <w:lang w:val="it-IT"/>
          <w14:ligatures w14:val="standardContextual"/>
        </w:rPr>
        <w:t xml:space="preserve">Il </w:t>
      </w:r>
      <w:r w:rsidRPr="00B37AAD">
        <w:rPr>
          <w:rFonts w:eastAsia="Aptos"/>
          <w:b/>
          <w:bCs/>
          <w:bdr w:val="none" w:sz="0" w:space="0" w:color="auto"/>
          <w:lang w:val="it-IT"/>
          <w14:ligatures w14:val="standardContextual"/>
        </w:rPr>
        <w:t>comma 3</w:t>
      </w:r>
      <w:r w:rsidRPr="00B37AAD">
        <w:rPr>
          <w:rFonts w:eastAsia="Aptos"/>
          <w:bdr w:val="none" w:sz="0" w:space="0" w:color="auto"/>
          <w:lang w:val="it-IT"/>
          <w14:ligatures w14:val="standardContextual"/>
        </w:rPr>
        <w:t xml:space="preserve"> estende i percorsi alle competenze per la sorveglianza umana prevista dall'articolo 26, paragrafo 2, del regolamento, ove i sistemi impiegati siano classificati ad alto rischio.</w:t>
      </w:r>
    </w:p>
    <w:p w14:paraId="6FECE45C" w14:textId="77777777" w:rsidR="0005382F" w:rsidRPr="00B37AAD" w:rsidRDefault="0005382F"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B37AAD">
        <w:rPr>
          <w:rFonts w:eastAsia="Aptos"/>
          <w:bdr w:val="none" w:sz="0" w:space="0" w:color="auto"/>
          <w:lang w:val="it-IT"/>
          <w14:ligatures w14:val="standardContextual"/>
        </w:rPr>
        <w:t xml:space="preserve">Il </w:t>
      </w:r>
      <w:r w:rsidRPr="00B37AAD">
        <w:rPr>
          <w:rFonts w:eastAsia="Aptos"/>
          <w:b/>
          <w:bCs/>
          <w:bdr w:val="none" w:sz="0" w:space="0" w:color="auto"/>
          <w:lang w:val="it-IT"/>
          <w14:ligatures w14:val="standardContextual"/>
        </w:rPr>
        <w:t>comma 4</w:t>
      </w:r>
      <w:r w:rsidRPr="00B37AAD">
        <w:rPr>
          <w:rFonts w:eastAsia="Aptos"/>
          <w:bdr w:val="none" w:sz="0" w:space="0" w:color="auto"/>
          <w:lang w:val="it-IT"/>
          <w14:ligatures w14:val="standardContextual"/>
        </w:rPr>
        <w:t xml:space="preserve"> preserva l'assetto di competenze disegnato dall’articolo 15, comma 4, della legge n. 132 distinguendo il canale della Scuola superiore della magistratura per i magistrati dalla competenza ministeriale diretta per il restante personale.</w:t>
      </w:r>
    </w:p>
    <w:p w14:paraId="6E01A26B" w14:textId="77777777" w:rsidR="0005382F" w:rsidRPr="00B37AAD" w:rsidRDefault="0005382F" w:rsidP="00365E22">
      <w:p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eastAsia="Aptos"/>
          <w:bdr w:val="none" w:sz="0" w:space="0" w:color="auto"/>
          <w:lang w:val="it-IT"/>
          <w14:ligatures w14:val="standardContextual"/>
        </w:rPr>
      </w:pPr>
      <w:r w:rsidRPr="00B37AAD">
        <w:rPr>
          <w:rFonts w:eastAsia="Aptos"/>
          <w:bdr w:val="none" w:sz="0" w:space="0" w:color="auto"/>
          <w:lang w:val="it-IT"/>
          <w14:ligatures w14:val="standardContextual"/>
        </w:rPr>
        <w:t xml:space="preserve">La disposizione non introduce obblighi ulteriori rispetto al regolamento europeo e non configura </w:t>
      </w:r>
      <w:proofErr w:type="spellStart"/>
      <w:r w:rsidRPr="00B37AAD">
        <w:rPr>
          <w:rFonts w:eastAsia="Aptos"/>
          <w:bdr w:val="none" w:sz="0" w:space="0" w:color="auto"/>
          <w:lang w:val="it-IT"/>
          <w14:ligatures w14:val="standardContextual"/>
        </w:rPr>
        <w:t>gold-</w:t>
      </w:r>
      <w:r w:rsidRPr="00B37AAD">
        <w:rPr>
          <w:rFonts w:eastAsia="Aptos"/>
          <w:i/>
          <w:iCs/>
          <w:bdr w:val="none" w:sz="0" w:space="0" w:color="auto"/>
          <w:lang w:val="it-IT"/>
          <w14:ligatures w14:val="standardContextual"/>
        </w:rPr>
        <w:t>plating</w:t>
      </w:r>
      <w:proofErr w:type="spellEnd"/>
      <w:r w:rsidRPr="00B37AAD">
        <w:rPr>
          <w:rFonts w:eastAsia="Aptos"/>
          <w:bdr w:val="none" w:sz="0" w:space="0" w:color="auto"/>
          <w:lang w:val="it-IT"/>
          <w14:ligatures w14:val="standardContextual"/>
        </w:rPr>
        <w:t>: integra sul piano contenutistico una previsione già vigente, specificando i profili formativi necessari all'adempimento degli obblighi europei derivanti dal regolamento IA nel settore della giustizia.</w:t>
      </w:r>
    </w:p>
    <w:p w14:paraId="05936ACE" w14:textId="77777777" w:rsidR="00CA0D47" w:rsidRPr="00B37AAD" w:rsidRDefault="00CA0D47" w:rsidP="00365E22">
      <w:pPr>
        <w:tabs>
          <w:tab w:val="left" w:pos="426"/>
        </w:tabs>
        <w:spacing w:after="60" w:line="276" w:lineRule="auto"/>
        <w:jc w:val="both"/>
        <w:rPr>
          <w:lang w:val="it-IT"/>
        </w:rPr>
      </w:pPr>
    </w:p>
    <w:p w14:paraId="3DC710AA" w14:textId="41F7E38B" w:rsidR="00CA0D47" w:rsidRPr="00B37AAD" w:rsidRDefault="000E4FD0" w:rsidP="00365E22">
      <w:pPr>
        <w:spacing w:after="60" w:line="276" w:lineRule="auto"/>
        <w:jc w:val="both"/>
        <w:rPr>
          <w:rFonts w:eastAsia="Aptos"/>
          <w:kern w:val="2"/>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sidRPr="008C24A3">
        <w:rPr>
          <w:rFonts w:eastAsia="Aptos"/>
          <w:b/>
          <w:bCs/>
          <w:kern w:val="2"/>
          <w:bdr w:val="none" w:sz="0" w:space="0" w:color="auto"/>
          <w:lang w:val="it-IT"/>
          <w14:ligatures w14:val="standardContextual"/>
        </w:rPr>
        <w:t>47</w:t>
      </w:r>
      <w:r w:rsidRPr="008C24A3">
        <w:rPr>
          <w:rFonts w:eastAsia="Times New Roman"/>
          <w:b/>
          <w:bCs/>
          <w:color w:val="0000FF"/>
          <w:kern w:val="2"/>
          <w:bdr w:val="none" w:sz="0" w:space="0" w:color="auto"/>
          <w:lang w:val="it-IT"/>
          <w14:ligatures w14:val="standardContextual"/>
        </w:rPr>
        <w:t xml:space="preserve"> </w:t>
      </w:r>
      <w:r w:rsidRPr="00C85842">
        <w:rPr>
          <w:rFonts w:eastAsia="Aptos"/>
          <w:kern w:val="2"/>
          <w:bdr w:val="none" w:sz="0" w:space="0" w:color="auto"/>
          <w:lang w:val="it-IT"/>
          <w14:ligatures w14:val="standardContextual"/>
        </w:rPr>
        <w:t>(</w:t>
      </w:r>
      <w:r w:rsidRPr="00C85842">
        <w:rPr>
          <w:rFonts w:eastAsia="Aptos"/>
          <w:i/>
          <w:iCs/>
          <w:kern w:val="2"/>
          <w:bdr w:val="none" w:sz="0" w:space="0" w:color="auto"/>
          <w:lang w:val="it-IT"/>
          <w14:ligatures w14:val="standardContextual"/>
        </w:rPr>
        <w:t>Formazione in materia di intelligenza artificiale per le professioni</w:t>
      </w:r>
      <w:r w:rsidRPr="00C85842">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0E4FD0">
        <w:rPr>
          <w:rFonts w:eastAsia="Aptos"/>
          <w:kern w:val="2"/>
          <w:lang w:val="it-IT"/>
        </w:rPr>
        <w:t xml:space="preserve">al </w:t>
      </w:r>
      <w:r w:rsidR="00CA0D47" w:rsidRPr="00B37AAD">
        <w:rPr>
          <w:rFonts w:eastAsia="Aptos"/>
          <w:b/>
          <w:bCs/>
          <w:kern w:val="2"/>
          <w:lang w:val="it-IT"/>
        </w:rPr>
        <w:t>comma 1,</w:t>
      </w:r>
      <w:r w:rsidR="00CA0D47" w:rsidRPr="00B37AAD">
        <w:rPr>
          <w:rFonts w:eastAsia="Aptos"/>
          <w:kern w:val="2"/>
          <w:lang w:val="it-IT"/>
        </w:rPr>
        <w:t xml:space="preserve"> introduce l'obbligo per gli ordini professionali di includere nella formazione iniziale e continua percorsi di alfabetizzazione e formazione all'uso dei sistemi di intelligenza artificiale.</w:t>
      </w:r>
    </w:p>
    <w:p w14:paraId="18D72DF1" w14:textId="77777777" w:rsidR="00CA0D47" w:rsidRPr="00B37AAD" w:rsidRDefault="00CA0D47" w:rsidP="00365E22">
      <w:pPr>
        <w:spacing w:after="60" w:line="276" w:lineRule="auto"/>
        <w:jc w:val="both"/>
        <w:rPr>
          <w:rFonts w:eastAsia="Aptos"/>
          <w:kern w:val="2"/>
          <w:lang w:val="it-IT"/>
        </w:rPr>
      </w:pPr>
      <w:r w:rsidRPr="00B37AAD">
        <w:rPr>
          <w:rFonts w:eastAsia="Aptos"/>
          <w:b/>
          <w:bCs/>
          <w:kern w:val="2"/>
          <w:lang w:val="it-IT"/>
        </w:rPr>
        <w:t>Il comma 2</w:t>
      </w:r>
      <w:r w:rsidRPr="00B37AAD">
        <w:rPr>
          <w:rFonts w:eastAsia="Aptos"/>
          <w:kern w:val="2"/>
          <w:lang w:val="it-IT"/>
        </w:rPr>
        <w:t xml:space="preserve"> articola i percorsi di formazione in tre profili: tecnico, giuridico e deontologico. Quest'ultimo, in particolare, è calibrato sulle specificità delle professioni regolamentate e comprende le responsabilità del professionista nell'uso dei sistemi, gli obblighi informativi verso il cliente e il rispetto del principio antropocentrico di cui all'articolo 1, comma 1, della legge n. 132 del 2025.</w:t>
      </w:r>
    </w:p>
    <w:p w14:paraId="120A2469" w14:textId="77777777" w:rsidR="00CA0D47" w:rsidRPr="00B37AAD" w:rsidRDefault="00CA0D47" w:rsidP="00365E22">
      <w:pPr>
        <w:spacing w:after="60" w:line="276" w:lineRule="auto"/>
        <w:jc w:val="both"/>
        <w:rPr>
          <w:rFonts w:eastAsia="Aptos"/>
          <w:kern w:val="2"/>
          <w:lang w:val="it-IT"/>
        </w:rPr>
      </w:pPr>
      <w:r w:rsidRPr="00B37AAD">
        <w:rPr>
          <w:rFonts w:eastAsia="Aptos"/>
          <w:kern w:val="2"/>
          <w:lang w:val="it-IT"/>
        </w:rPr>
        <w:t xml:space="preserve">Il </w:t>
      </w:r>
      <w:r w:rsidRPr="00B37AAD">
        <w:rPr>
          <w:rFonts w:eastAsia="Aptos"/>
          <w:b/>
          <w:bCs/>
          <w:kern w:val="2"/>
          <w:lang w:val="it-IT"/>
        </w:rPr>
        <w:t>comma 3</w:t>
      </w:r>
      <w:r w:rsidRPr="00B37AAD">
        <w:rPr>
          <w:rFonts w:eastAsia="Aptos"/>
          <w:kern w:val="2"/>
          <w:lang w:val="it-IT"/>
        </w:rPr>
        <w:t xml:space="preserve"> prevede un monte ore minimo per ciascun periodo di valutazione della formazione continua, rinviando al comma 5 per la determinazione dei contenuti e delle modalità.</w:t>
      </w:r>
    </w:p>
    <w:p w14:paraId="2A2389EA" w14:textId="77777777" w:rsidR="00CA0D47" w:rsidRPr="00B37AAD" w:rsidRDefault="00CA0D47" w:rsidP="00365E22">
      <w:pPr>
        <w:spacing w:after="60" w:line="276" w:lineRule="auto"/>
        <w:jc w:val="both"/>
        <w:rPr>
          <w:lang w:val="it-IT"/>
        </w:rPr>
      </w:pPr>
      <w:r w:rsidRPr="00B37AAD">
        <w:rPr>
          <w:lang w:val="it-IT"/>
        </w:rPr>
        <w:t xml:space="preserve">Il </w:t>
      </w:r>
      <w:r w:rsidRPr="00B37AAD">
        <w:rPr>
          <w:b/>
          <w:bCs/>
          <w:lang w:val="it-IT"/>
        </w:rPr>
        <w:t>comma 4</w:t>
      </w:r>
      <w:r w:rsidRPr="00B37AAD">
        <w:rPr>
          <w:lang w:val="it-IT"/>
        </w:rPr>
        <w:t xml:space="preserve"> prevede l’applicazione delle disposizioni dei commi 1, 2 e 3 di tale articolo, in tema di formazione di pertinenza degli ordini professionali, anche ai percorsi formativi promossi dalle forme aggregative delle associazioni, di cui all'articolo 3 della legge 14 gennaio 2013, n. 4, per le professioni non regolamentate con riguardo ai temi legati all'uso dei sistemi di intelligenza artificiale. Quanto al comma 5 si dispone, tra l'altro, che le forme aggregative delle associazioni, di cui al comma 4, anche per il tramite delle associazioni professionali rendano conoscibili i percorsi formativi e le modalità per l’accertamento dell’effettivo assolvimento dell’obbligo di aggiornamento professionale, ai sensi dell'articolo 5 della legge n. 4 del 2013 (obbligo di rendere conoscibili elementi informativi che presentano utilità per il consumatore).</w:t>
      </w:r>
    </w:p>
    <w:p w14:paraId="306EB192" w14:textId="77777777" w:rsidR="00CA0D47" w:rsidRPr="00B37AAD" w:rsidRDefault="00CA0D47" w:rsidP="00365E22">
      <w:pPr>
        <w:spacing w:after="60" w:line="276" w:lineRule="auto"/>
        <w:jc w:val="both"/>
        <w:rPr>
          <w:lang w:val="it-IT"/>
        </w:rPr>
      </w:pPr>
      <w:r w:rsidRPr="00B37AAD">
        <w:rPr>
          <w:b/>
          <w:bCs/>
          <w:lang w:val="it-IT"/>
        </w:rPr>
        <w:t>Le disposizioni sono ordinamentali e non comportano nuovi o maggiori oneri per la finanza pubblica</w:t>
      </w:r>
      <w:r w:rsidRPr="00B37AAD">
        <w:rPr>
          <w:lang w:val="it-IT"/>
        </w:rPr>
        <w:t>.</w:t>
      </w:r>
    </w:p>
    <w:p w14:paraId="219F0688" w14:textId="77777777" w:rsidR="00CA0D47" w:rsidRPr="00B37AAD" w:rsidRDefault="00CA0D47" w:rsidP="00365E22">
      <w:pPr>
        <w:spacing w:after="60" w:line="276" w:lineRule="auto"/>
        <w:jc w:val="both"/>
        <w:rPr>
          <w:rFonts w:eastAsia="Aptos"/>
          <w:kern w:val="2"/>
          <w:lang w:val="it-IT"/>
        </w:rPr>
      </w:pPr>
      <w:r w:rsidRPr="00B37AAD">
        <w:rPr>
          <w:rFonts w:eastAsia="Aptos"/>
          <w:kern w:val="2"/>
          <w:lang w:val="it-IT"/>
        </w:rPr>
        <w:t xml:space="preserve">Il </w:t>
      </w:r>
      <w:r w:rsidRPr="00B37AAD">
        <w:rPr>
          <w:rFonts w:eastAsia="Aptos"/>
          <w:b/>
          <w:bCs/>
          <w:kern w:val="2"/>
          <w:lang w:val="it-IT"/>
        </w:rPr>
        <w:t>comma 5</w:t>
      </w:r>
      <w:r w:rsidRPr="00B37AAD">
        <w:rPr>
          <w:rFonts w:eastAsia="Aptos"/>
          <w:kern w:val="2"/>
          <w:lang w:val="it-IT"/>
        </w:rPr>
        <w:t xml:space="preserve"> fissa in sei mesi il termine per l'adeguamento dei regolamenti e degli atti organizzativi in materia di formazione da parte dei consigli nazionali, nel rispetto delle procedure di settore, ivi compresa l'acquisizione del parere o dell'approvazione dell'autorità vigilante ove prevista. Per le professioni forensi, ciò comporta l'intervento del Ministro della giustizia secondo le modalità previste </w:t>
      </w:r>
      <w:r w:rsidRPr="00B37AAD">
        <w:rPr>
          <w:rFonts w:eastAsia="Aptos"/>
          <w:kern w:val="2"/>
          <w:lang w:val="it-IT"/>
        </w:rPr>
        <w:lastRenderedPageBreak/>
        <w:t>dalla legge n. 247 del 2012 e dal regolamento del Consiglio nazionale forense in materia di formazione continua. Il medesimo comma 5 dispone, tra l'altro, che le forme aggregative delle associazioni, di cui al comma 4, anche per il tramite delle associazioni professionali che le costituiscono, rendano conoscibili i percorsi formativi e le modalità per l’accertamento dell’effettivo assolvimento dell’obbligo di aggiornamento professionale, ai sensi dell'articolo 5 della legge n. 4 del 2013, quanto all’obbligo di rendere conoscibili elementi informativi che presentano utilità per il consumatore.</w:t>
      </w:r>
    </w:p>
    <w:p w14:paraId="6CCA56BC" w14:textId="2C33EF32" w:rsidR="00CA0D47" w:rsidRPr="00B37AAD" w:rsidRDefault="00CA0D47" w:rsidP="00365E22">
      <w:pPr>
        <w:spacing w:after="60" w:line="276" w:lineRule="auto"/>
        <w:jc w:val="both"/>
        <w:rPr>
          <w:b/>
          <w:bCs/>
          <w:color w:val="0000FF"/>
          <w:lang w:val="it-IT"/>
        </w:rPr>
      </w:pPr>
      <w:r w:rsidRPr="00B37AAD">
        <w:rPr>
          <w:rFonts w:eastAsia="Aptos"/>
          <w:b/>
          <w:bCs/>
          <w:kern w:val="2"/>
          <w:lang w:val="it-IT"/>
        </w:rPr>
        <w:t>Per quanto di competenza del Ministero della Giustizia, si rappresenta che la disposizione in esame sancisce l'attribuzione di un potere di vigilanza e co-regolamentazione in capo al Ministero, così come definito dalla legge n. 274 del 2012, mediante l’esercizio del controllo di legittimità e dell'approvazione formale degli atti e dei regolamenti adottati dagli organismi di rappresentanza dell'avvocatura (CNF)</w:t>
      </w:r>
      <w:r w:rsidRPr="00B37AAD">
        <w:rPr>
          <w:rFonts w:eastAsia="Aptos"/>
          <w:kern w:val="2"/>
          <w:lang w:val="it-IT"/>
        </w:rPr>
        <w:t xml:space="preserve"> </w:t>
      </w:r>
      <w:r w:rsidRPr="00B37AAD">
        <w:rPr>
          <w:rFonts w:eastAsia="Aptos"/>
          <w:b/>
          <w:bCs/>
          <w:kern w:val="2"/>
          <w:lang w:val="it-IT"/>
        </w:rPr>
        <w:t>in materia di formazione continua</w:t>
      </w:r>
      <w:r w:rsidRPr="00B37AAD">
        <w:rPr>
          <w:rFonts w:eastAsia="Aptos"/>
          <w:kern w:val="2"/>
          <w:lang w:val="it-IT"/>
        </w:rPr>
        <w:t xml:space="preserve">. </w:t>
      </w:r>
      <w:r w:rsidRPr="00B37AAD">
        <w:rPr>
          <w:rFonts w:eastAsia="Aptos"/>
          <w:b/>
          <w:bCs/>
          <w:kern w:val="2"/>
          <w:lang w:val="it-IT"/>
        </w:rPr>
        <w:t>Dal punto di vista</w:t>
      </w:r>
      <w:r w:rsidRPr="00B37AAD">
        <w:rPr>
          <w:rFonts w:eastAsia="Aptos"/>
          <w:kern w:val="2"/>
          <w:lang w:val="it-IT"/>
        </w:rPr>
        <w:t xml:space="preserve"> </w:t>
      </w:r>
      <w:r w:rsidRPr="00B37AAD">
        <w:rPr>
          <w:rFonts w:eastAsia="Aptos"/>
          <w:b/>
          <w:bCs/>
          <w:kern w:val="2"/>
          <w:lang w:val="it-IT"/>
        </w:rPr>
        <w:t xml:space="preserve">finanziario, si rappresenta che </w:t>
      </w:r>
      <w:r w:rsidRPr="00B37AAD">
        <w:rPr>
          <w:rFonts w:eastAsia="Times New Roman"/>
          <w:b/>
          <w:lang w:val="it-IT" w:eastAsia="it-IT"/>
        </w:rPr>
        <w:t>gli adempimenti in carico al Ministero della Giustizia rientrano nelle competenze istituzionalmente assegnate all’Amministrazione, svolte mediante utilizzo delle risorse umane, finanziarie e strumentali disponibili a legislazione vigente e non comportano nuovi o maggiori oneri a carico della finanza pubblica</w:t>
      </w:r>
      <w:r w:rsidRPr="00B37AAD">
        <w:rPr>
          <w:rFonts w:eastAsia="Times New Roman"/>
          <w:b/>
          <w:i/>
          <w:iCs/>
          <w:lang w:val="it-IT" w:eastAsia="it-IT"/>
        </w:rPr>
        <w:t>.</w:t>
      </w:r>
      <w:r w:rsidRPr="00B37AAD">
        <w:rPr>
          <w:rFonts w:eastAsia="Aptos"/>
          <w:b/>
          <w:bCs/>
          <w:color w:val="0000FF"/>
          <w:lang w:val="it-IT"/>
        </w:rPr>
        <w:t xml:space="preserve"> </w:t>
      </w:r>
    </w:p>
    <w:p w14:paraId="296E6781" w14:textId="77777777" w:rsidR="00CA0D47" w:rsidRPr="00B37AAD" w:rsidRDefault="00CA0D47" w:rsidP="00365E22">
      <w:pPr>
        <w:spacing w:after="60" w:line="276" w:lineRule="auto"/>
        <w:jc w:val="both"/>
        <w:rPr>
          <w:rFonts w:eastAsia="Aptos"/>
          <w:kern w:val="2"/>
          <w:lang w:val="it-IT"/>
        </w:rPr>
      </w:pPr>
      <w:r w:rsidRPr="00B37AAD">
        <w:rPr>
          <w:rFonts w:eastAsia="Aptos"/>
          <w:kern w:val="2"/>
          <w:lang w:val="it-IT"/>
        </w:rPr>
        <w:t xml:space="preserve">Il </w:t>
      </w:r>
      <w:r w:rsidRPr="00B37AAD">
        <w:rPr>
          <w:rFonts w:eastAsia="Aptos"/>
          <w:b/>
          <w:bCs/>
          <w:kern w:val="2"/>
          <w:lang w:val="it-IT"/>
        </w:rPr>
        <w:t>comma 6</w:t>
      </w:r>
      <w:r w:rsidRPr="00B37AAD">
        <w:rPr>
          <w:rFonts w:eastAsia="Aptos"/>
          <w:kern w:val="2"/>
          <w:lang w:val="it-IT"/>
        </w:rPr>
        <w:t xml:space="preserve"> disciplina le professioni sanitarie con un meccanismo distinto, rinviando a un accordo in Conferenza permanente Stato-Regioni per l'inclusione dei percorsi nei programmi ECM, entro il medesimo termine di sei mesi. La disposizione non configura </w:t>
      </w:r>
      <w:r w:rsidRPr="00B37AAD">
        <w:rPr>
          <w:rFonts w:eastAsia="Aptos"/>
          <w:i/>
          <w:iCs/>
          <w:kern w:val="2"/>
          <w:lang w:val="it-IT"/>
        </w:rPr>
        <w:t>gold</w:t>
      </w:r>
      <w:r w:rsidRPr="00B37AAD">
        <w:rPr>
          <w:rFonts w:eastAsia="Aptos"/>
          <w:kern w:val="2"/>
          <w:lang w:val="it-IT"/>
        </w:rPr>
        <w:t>-</w:t>
      </w:r>
      <w:r w:rsidRPr="00B37AAD">
        <w:rPr>
          <w:rFonts w:eastAsia="Aptos"/>
          <w:i/>
          <w:iCs/>
          <w:kern w:val="2"/>
          <w:lang w:val="it-IT"/>
        </w:rPr>
        <w:t>plating</w:t>
      </w:r>
      <w:r w:rsidRPr="00B37AAD">
        <w:rPr>
          <w:rFonts w:eastAsia="Aptos"/>
          <w:kern w:val="2"/>
          <w:lang w:val="it-IT"/>
        </w:rPr>
        <w:t>: l'articolo 4 del regolamento (UE) 2024/1689 impone l'alfabetizzazione al personale che opera con sistemi di intelligenza artificiale, e la lettera f) della delega espressamente richiede la previsione di percorsi formativi da parte degli ordini professionali. L'articolo si limita a tradurre tali obblighi nel sistema della formazione professionale italiana, rispettandone l'articolazione istituzionale.</w:t>
      </w:r>
    </w:p>
    <w:p w14:paraId="0B85876C" w14:textId="77777777" w:rsidR="00CA0D47" w:rsidRPr="00B37AAD" w:rsidRDefault="00CA0D47" w:rsidP="00365E22">
      <w:pPr>
        <w:spacing w:after="60" w:line="276" w:lineRule="auto"/>
        <w:jc w:val="both"/>
        <w:rPr>
          <w:lang w:val="it-IT"/>
        </w:rPr>
      </w:pPr>
    </w:p>
    <w:p w14:paraId="1A6331E2" w14:textId="71D3A6C5" w:rsidR="00CA0D47" w:rsidRPr="00B37AAD" w:rsidRDefault="009B7DEC" w:rsidP="00365E22">
      <w:pPr>
        <w:spacing w:after="60" w:line="276" w:lineRule="auto"/>
        <w:jc w:val="both"/>
        <w:rPr>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8C24A3">
        <w:rPr>
          <w:rFonts w:eastAsia="Aptos"/>
          <w:b/>
          <w:bCs/>
          <w:kern w:val="2"/>
          <w:bdr w:val="none" w:sz="0" w:space="0" w:color="auto"/>
          <w:lang w:val="it-IT"/>
          <w14:ligatures w14:val="standardContextual"/>
        </w:rPr>
        <w:t xml:space="preserve"> 48</w:t>
      </w:r>
      <w:r w:rsidRPr="008C24A3">
        <w:rPr>
          <w:rFonts w:eastAsia="Times New Roman"/>
          <w:b/>
          <w:bCs/>
          <w:color w:val="0000FF"/>
          <w:kern w:val="2"/>
          <w:bdr w:val="none" w:sz="0" w:space="0" w:color="auto"/>
          <w:lang w:val="it-IT"/>
          <w14:ligatures w14:val="standardContextual"/>
        </w:rPr>
        <w:t xml:space="preserve"> </w:t>
      </w:r>
      <w:r w:rsidRPr="00C85842">
        <w:rPr>
          <w:rFonts w:eastAsia="Aptos"/>
          <w:kern w:val="2"/>
          <w:bdr w:val="none" w:sz="0" w:space="0" w:color="auto"/>
          <w:lang w:val="it-IT"/>
          <w14:ligatures w14:val="standardContextual"/>
        </w:rPr>
        <w:t>(</w:t>
      </w:r>
      <w:r w:rsidRPr="00C85842">
        <w:rPr>
          <w:rFonts w:eastAsia="Aptos"/>
          <w:i/>
          <w:iCs/>
          <w:kern w:val="2"/>
          <w:bdr w:val="none" w:sz="0" w:space="0" w:color="auto"/>
          <w:lang w:val="it-IT"/>
          <w14:ligatures w14:val="standardContextual"/>
        </w:rPr>
        <w:t>Norme in materia di equo compenso</w:t>
      </w:r>
      <w:r w:rsidRPr="00C85842">
        <w:rPr>
          <w:rFonts w:eastAsia="Aptos"/>
          <w:kern w:val="2"/>
          <w:bdr w:val="none" w:sz="0" w:space="0" w:color="auto"/>
          <w:lang w:val="it-IT"/>
          <w14:ligatures w14:val="standardContextual"/>
        </w:rPr>
        <w:t>)</w:t>
      </w:r>
      <w:r w:rsidRPr="008C24A3">
        <w:rPr>
          <w:rFonts w:eastAsia="Aptos"/>
          <w:kern w:val="2"/>
          <w:bdr w:val="none" w:sz="0" w:space="0" w:color="auto"/>
          <w:lang w:val="it-IT"/>
          <w14:ligatures w14:val="standardContextual"/>
        </w:rPr>
        <w:t xml:space="preserve"> </w:t>
      </w:r>
      <w:r w:rsidR="00CA0D47" w:rsidRPr="00B37AAD">
        <w:rPr>
          <w:lang w:val="it-IT"/>
        </w:rPr>
        <w:t xml:space="preserve">al </w:t>
      </w:r>
      <w:r w:rsidR="00CA0D47" w:rsidRPr="00B37AAD">
        <w:rPr>
          <w:b/>
          <w:bCs/>
          <w:lang w:val="it-IT"/>
        </w:rPr>
        <w:t>comma 1</w:t>
      </w:r>
      <w:r w:rsidR="00CA0D47" w:rsidRPr="00B37AAD">
        <w:rPr>
          <w:lang w:val="it-IT"/>
        </w:rPr>
        <w:t xml:space="preserve"> prevede che l'utilizzo di sistemi di intelligenza artificiale da parte del professionista possa comportare una modulazione dell’equo compenso ai sensi della legge 21 aprile 2023, n. 49, secondo parametri che tengono conto della classificazione di rischio del sistema di intelligenza artificiale utilizzato, ai sensi del regolamento (UE) 2024/1689.</w:t>
      </w:r>
    </w:p>
    <w:p w14:paraId="6A7D6AA3" w14:textId="77777777" w:rsidR="00CA0D47" w:rsidRPr="00B37AAD" w:rsidRDefault="00CA0D47" w:rsidP="00365E22">
      <w:pPr>
        <w:spacing w:after="60" w:line="276" w:lineRule="auto"/>
        <w:jc w:val="both"/>
        <w:rPr>
          <w:lang w:val="it-IT"/>
        </w:rPr>
      </w:pPr>
      <w:r w:rsidRPr="00B37AAD">
        <w:rPr>
          <w:lang w:val="it-IT"/>
        </w:rPr>
        <w:t xml:space="preserve">Il </w:t>
      </w:r>
      <w:r w:rsidRPr="00B37AAD">
        <w:rPr>
          <w:b/>
          <w:bCs/>
          <w:lang w:val="it-IT"/>
        </w:rPr>
        <w:t>comma 2</w:t>
      </w:r>
      <w:r w:rsidRPr="00B37AAD">
        <w:rPr>
          <w:lang w:val="it-IT"/>
        </w:rPr>
        <w:t xml:space="preserve">, tra l'altro, dispone l’integrazione dei decreti adottati per le professioni non organizzate in ordini o collegi (art. 1, co. 1, lett. c) - della legge n. 49 del 2023), con la determinazione dei parametri utili in conformità al criterio di cui al comma 1, entro dodici mesi dalla data di entrata in vigore del presente decreto legislativo. </w:t>
      </w:r>
    </w:p>
    <w:p w14:paraId="6870F09D" w14:textId="77777777" w:rsidR="00CA0D47" w:rsidRPr="00B37AAD" w:rsidRDefault="00CA0D47" w:rsidP="00365E22">
      <w:pPr>
        <w:spacing w:after="60" w:line="276" w:lineRule="auto"/>
        <w:jc w:val="both"/>
        <w:rPr>
          <w:lang w:val="it-IT"/>
        </w:rPr>
      </w:pPr>
      <w:r w:rsidRPr="00B37AAD">
        <w:rPr>
          <w:b/>
          <w:bCs/>
          <w:lang w:val="it-IT"/>
        </w:rPr>
        <w:t>Le disposizioni sono ordinamentali e non comportano nuovi o maggiori oneri per la finanza pubblica</w:t>
      </w:r>
      <w:r w:rsidRPr="00B37AAD">
        <w:rPr>
          <w:lang w:val="it-IT"/>
        </w:rPr>
        <w:t>.</w:t>
      </w:r>
    </w:p>
    <w:p w14:paraId="4FCBAB79" w14:textId="77777777" w:rsidR="00CA0D47" w:rsidRPr="00B37AAD" w:rsidRDefault="00CA0D47" w:rsidP="00365E22">
      <w:pPr>
        <w:spacing w:after="60" w:line="276" w:lineRule="auto"/>
        <w:jc w:val="both"/>
        <w:rPr>
          <w:b/>
          <w:bCs/>
          <w:lang w:val="it-IT"/>
        </w:rPr>
      </w:pPr>
      <w:r w:rsidRPr="00B37AAD">
        <w:rPr>
          <w:b/>
          <w:bCs/>
          <w:lang w:val="it-IT"/>
        </w:rPr>
        <w:t xml:space="preserve">Per quanto di competenza del Ministero della giustizia, la disposizione non è suscettibile di determinare effetti onerosi per la finanza pubblica, in quanto si limita a prevedere, in via eventuale, la modulazione dell’equo compenso del professionista nell’ambito dell’utilizzo di sistemi di intelligenza artificiale secondo i criteri stabiliti dalla normativa vigente, nonché l’integrazione dei decreti adottati per le professioni non organizzate in ordini o collegi ai fini della determinazione dei relativi parametri anche in tali ambiti. Alla relativa attuazione si provvede nell’ambito delle ordinarie attività istituzionali e di vigilanza già attribuite all’Amministrazione, con le risorse umane, strumentali e finanziarie disponibili a legislazione </w:t>
      </w:r>
      <w:r w:rsidRPr="00B37AAD">
        <w:rPr>
          <w:b/>
          <w:bCs/>
          <w:lang w:val="it-IT"/>
        </w:rPr>
        <w:lastRenderedPageBreak/>
        <w:t>vigente. Ne consegue che dalla disposizione non derivano nuovi o maggiori oneri a carico della finanza pubblica.</w:t>
      </w:r>
    </w:p>
    <w:p w14:paraId="537E2523" w14:textId="77777777" w:rsidR="00CA0D47" w:rsidRPr="00B37AAD" w:rsidRDefault="00CA0D47" w:rsidP="00365E22">
      <w:pPr>
        <w:spacing w:after="60" w:line="276" w:lineRule="auto"/>
        <w:jc w:val="both"/>
        <w:rPr>
          <w:lang w:val="it-IT"/>
        </w:rPr>
      </w:pPr>
    </w:p>
    <w:p w14:paraId="69C947F4" w14:textId="613C6531" w:rsidR="00CA0D47" w:rsidRPr="00B37AAD" w:rsidRDefault="008C4BAE" w:rsidP="00365E22">
      <w:pPr>
        <w:tabs>
          <w:tab w:val="left" w:pos="426"/>
        </w:tabs>
        <w:spacing w:after="60" w:line="276" w:lineRule="auto"/>
        <w:jc w:val="both"/>
        <w:rPr>
          <w:rFonts w:eastAsia="Aptos"/>
          <w:kern w:val="2"/>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107E5A">
        <w:rPr>
          <w:rFonts w:eastAsia="Aptos"/>
          <w:b/>
          <w:bCs/>
          <w:kern w:val="2"/>
          <w:bdr w:val="none" w:sz="0" w:space="0" w:color="auto"/>
          <w:lang w:val="it-IT"/>
          <w14:ligatures w14:val="standardContextual"/>
        </w:rPr>
        <w:t xml:space="preserve"> </w:t>
      </w:r>
      <w:r w:rsidRPr="008C24A3">
        <w:rPr>
          <w:rFonts w:eastAsia="Aptos"/>
          <w:b/>
          <w:bCs/>
          <w:kern w:val="2"/>
          <w:bdr w:val="none" w:sz="0" w:space="0" w:color="auto"/>
          <w:lang w:val="it-IT"/>
          <w14:ligatures w14:val="standardContextual"/>
        </w:rPr>
        <w:t>49</w:t>
      </w:r>
      <w:r w:rsidRPr="008C24A3">
        <w:rPr>
          <w:rFonts w:eastAsia="Times New Roman"/>
          <w:b/>
          <w:bCs/>
          <w:color w:val="0000FF"/>
          <w:kern w:val="2"/>
          <w:bdr w:val="none" w:sz="0" w:space="0" w:color="auto"/>
          <w:lang w:val="it-IT"/>
          <w14:ligatures w14:val="standardContextual"/>
        </w:rPr>
        <w:t xml:space="preserve"> </w:t>
      </w:r>
      <w:r w:rsidRPr="00C85842">
        <w:rPr>
          <w:rFonts w:eastAsia="Aptos"/>
          <w:kern w:val="2"/>
          <w:bdr w:val="none" w:sz="0" w:space="0" w:color="auto"/>
          <w:lang w:val="it-IT"/>
          <w14:ligatures w14:val="standardContextual"/>
        </w:rPr>
        <w:t>(</w:t>
      </w:r>
      <w:r w:rsidRPr="00C85842">
        <w:rPr>
          <w:rFonts w:eastAsia="Aptos"/>
          <w:i/>
          <w:iCs/>
          <w:kern w:val="2"/>
          <w:bdr w:val="none" w:sz="0" w:space="0" w:color="auto"/>
          <w:lang w:val="it-IT"/>
          <w14:ligatures w14:val="standardContextual"/>
        </w:rPr>
        <w:t>Iniziative di alfabetizzazione e formazione nel settore finanziario</w:t>
      </w:r>
      <w:r w:rsidRPr="00C85842">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B37AAD">
        <w:rPr>
          <w:rFonts w:eastAsia="Aptos"/>
          <w:kern w:val="2"/>
          <w:lang w:val="it-IT"/>
        </w:rPr>
        <w:t>riferendosi al coinvolgimento del Comitato EDUFIN nelle attività di sensibilizzazione del pubblico circa le opportunità e i rischi derivanti dall’utilizzo dell’intelligenza artificiale nel settore finanziario, ha natura ordinamentale. Le attività ivi previste sono svolte dal Comitato senza nuovi o maggiori oneri per la finanza pubblica, con le risorse umane, finanziarie e strumentali a disposizione del Comitato.  Nel dettaglio, la previsione non ha impatti sullo stanziamento di bilancio previsto dall’art. 24-</w:t>
      </w:r>
      <w:r w:rsidR="00CA0D47" w:rsidRPr="00B37AAD">
        <w:rPr>
          <w:rFonts w:eastAsia="Aptos"/>
          <w:i/>
          <w:iCs/>
          <w:kern w:val="2"/>
          <w:lang w:val="it-IT"/>
        </w:rPr>
        <w:t>bis</w:t>
      </w:r>
      <w:r w:rsidR="00CA0D47" w:rsidRPr="00B37AAD">
        <w:rPr>
          <w:rFonts w:eastAsia="Aptos"/>
          <w:kern w:val="2"/>
          <w:lang w:val="it-IT"/>
        </w:rPr>
        <w:t>, comma 11, del decreto-legge n. 237 del 2016, come successivamente attuato con il decreto del Ministro dell’Economia e delle finanze del 27 luglio 2017, che ha assegnato al Dipartimento del Tesoro il capitolo 1407/pg1 denominato “</w:t>
      </w:r>
      <w:r w:rsidR="00CA0D47" w:rsidRPr="00B37AAD">
        <w:rPr>
          <w:rFonts w:eastAsia="Aptos"/>
          <w:i/>
          <w:iCs/>
          <w:kern w:val="2"/>
          <w:lang w:val="it-IT"/>
        </w:rPr>
        <w:t>Spese per le attività del Comitato per la programmazione e il coordinamento delle attività di educazione finanziaria</w:t>
      </w:r>
      <w:r w:rsidR="00CA0D47" w:rsidRPr="00B37AAD">
        <w:rPr>
          <w:rFonts w:eastAsia="Aptos"/>
          <w:kern w:val="2"/>
          <w:lang w:val="it-IT"/>
        </w:rPr>
        <w:t>”, la cui gestione amministrativa è ora affidata all’Ufficio I della Direzione V del DT, con una dotazione di 1 milione di euro annui, come prevista dall’art.24-bis del decreto-legge n. 237 del 2016.</w:t>
      </w:r>
    </w:p>
    <w:p w14:paraId="69DA5D90" w14:textId="77777777" w:rsidR="00CA0D47" w:rsidRPr="00B37AAD" w:rsidRDefault="00CA0D47" w:rsidP="00365E22">
      <w:pPr>
        <w:tabs>
          <w:tab w:val="left" w:pos="426"/>
        </w:tabs>
        <w:spacing w:after="60" w:line="276" w:lineRule="auto"/>
        <w:jc w:val="both"/>
        <w:rPr>
          <w:rFonts w:eastAsia="Aptos"/>
          <w:kern w:val="2"/>
          <w:lang w:val="it-IT"/>
        </w:rPr>
      </w:pPr>
    </w:p>
    <w:p w14:paraId="1E14FB7C" w14:textId="0B0A5023" w:rsidR="00CA0D47" w:rsidRPr="00B37AAD" w:rsidRDefault="003C523E" w:rsidP="00365E22">
      <w:pPr>
        <w:tabs>
          <w:tab w:val="left" w:pos="426"/>
        </w:tabs>
        <w:spacing w:after="60" w:line="276" w:lineRule="auto"/>
        <w:jc w:val="both"/>
        <w:rPr>
          <w:lang w:val="it-IT"/>
        </w:rPr>
      </w:pPr>
      <w:r w:rsidRPr="0004087F">
        <w:rPr>
          <w:rFonts w:eastAsia="Aptos"/>
          <w:kern w:val="2"/>
          <w:bdr w:val="none" w:sz="0" w:space="0" w:color="auto"/>
          <w:lang w:val="it-IT"/>
          <w14:ligatures w14:val="standardContextual"/>
        </w:rPr>
        <w:t>L’</w:t>
      </w:r>
      <w:r>
        <w:rPr>
          <w:rFonts w:eastAsia="Aptos"/>
          <w:b/>
          <w:bCs/>
          <w:kern w:val="2"/>
          <w:bdr w:val="none" w:sz="0" w:space="0" w:color="auto"/>
          <w:lang w:val="it-IT"/>
          <w14:ligatures w14:val="standardContextual"/>
        </w:rPr>
        <w:t>articolo</w:t>
      </w:r>
      <w:r w:rsidRPr="008C24A3">
        <w:rPr>
          <w:rFonts w:eastAsia="Aptos"/>
          <w:b/>
          <w:bCs/>
          <w:kern w:val="2"/>
          <w:bdr w:val="none" w:sz="0" w:space="0" w:color="auto"/>
          <w:lang w:val="it-IT"/>
          <w14:ligatures w14:val="standardContextual"/>
        </w:rPr>
        <w:t xml:space="preserve"> 50 </w:t>
      </w:r>
      <w:r w:rsidRPr="004A1A78">
        <w:rPr>
          <w:rFonts w:eastAsia="Aptos"/>
          <w:kern w:val="2"/>
          <w:bdr w:val="none" w:sz="0" w:space="0" w:color="auto"/>
          <w:lang w:val="it-IT"/>
          <w14:ligatures w14:val="standardContextual"/>
        </w:rPr>
        <w:t>(</w:t>
      </w:r>
      <w:r w:rsidRPr="004A1A78">
        <w:rPr>
          <w:rFonts w:eastAsia="Aptos"/>
          <w:i/>
          <w:iCs/>
          <w:kern w:val="2"/>
          <w:bdr w:val="none" w:sz="0" w:space="0" w:color="auto"/>
          <w:lang w:val="it-IT"/>
          <w14:ligatures w14:val="standardContextual"/>
        </w:rPr>
        <w:t>Formazione in materia di intelligenza artificiale nell’ambito della formazione continua in medicina -ECM- e della formazione manageriale in sanità</w:t>
      </w:r>
      <w:r w:rsidRPr="004A1A78">
        <w:rPr>
          <w:rFonts w:eastAsia="Aptos"/>
          <w:kern w:val="2"/>
          <w:bdr w:val="none" w:sz="0" w:space="0" w:color="auto"/>
          <w:lang w:val="it-IT"/>
          <w14:ligatures w14:val="standardContextual"/>
        </w:rPr>
        <w:t>)</w:t>
      </w:r>
      <w:r>
        <w:rPr>
          <w:rFonts w:eastAsia="Aptos"/>
          <w:kern w:val="2"/>
          <w:bdr w:val="none" w:sz="0" w:space="0" w:color="auto"/>
          <w:lang w:val="it-IT"/>
          <w14:ligatures w14:val="standardContextual"/>
        </w:rPr>
        <w:t xml:space="preserve"> </w:t>
      </w:r>
      <w:r w:rsidR="00CA0D47" w:rsidRPr="00B37AAD">
        <w:rPr>
          <w:lang w:val="it-IT"/>
        </w:rPr>
        <w:t>introduce corsi obbligatori sull’intelligenza artificiale nell’ambito dell’ECM e della formazione manageriale sanitaria, con l’obiettivo di aggiornare le competenze tecniche, giuridiche e deontologiche del personale del Servizio sanitario nazionale.</w:t>
      </w:r>
    </w:p>
    <w:p w14:paraId="26008B88" w14:textId="77777777" w:rsidR="00CA0D47" w:rsidRPr="00B37AAD" w:rsidRDefault="00CA0D47" w:rsidP="00365E22">
      <w:pPr>
        <w:tabs>
          <w:tab w:val="left" w:pos="426"/>
        </w:tabs>
        <w:spacing w:after="60" w:line="276" w:lineRule="auto"/>
        <w:jc w:val="both"/>
        <w:rPr>
          <w:lang w:val="it-IT"/>
        </w:rPr>
      </w:pPr>
      <w:r w:rsidRPr="00B37AAD">
        <w:rPr>
          <w:lang w:val="it-IT"/>
        </w:rPr>
        <w:t>La norma, nello specifico, demanda alla Commissione nazionale per la formazione continua (CNFC) e all’Agenzia nazionale per i servizi sanitari regionali (AGENAS) la definizione dei programmi e dei contenuti formativi.</w:t>
      </w:r>
    </w:p>
    <w:p w14:paraId="7DF59ED1" w14:textId="77777777" w:rsidR="00CA0D47" w:rsidRPr="00B37AAD" w:rsidRDefault="00CA0D47" w:rsidP="00365E22">
      <w:pPr>
        <w:tabs>
          <w:tab w:val="left" w:pos="426"/>
        </w:tabs>
        <w:spacing w:after="60" w:line="276" w:lineRule="auto"/>
        <w:jc w:val="both"/>
        <w:rPr>
          <w:lang w:val="it-IT"/>
        </w:rPr>
      </w:pPr>
      <w:r w:rsidRPr="00B37AAD">
        <w:rPr>
          <w:lang w:val="it-IT"/>
        </w:rPr>
        <w:t>La CNFC, di cui all’articolo 16-</w:t>
      </w:r>
      <w:r w:rsidRPr="00B37AAD">
        <w:rPr>
          <w:i/>
          <w:iCs/>
          <w:lang w:val="it-IT"/>
        </w:rPr>
        <w:t>ter</w:t>
      </w:r>
      <w:r w:rsidRPr="00B37AAD">
        <w:rPr>
          <w:lang w:val="it-IT"/>
        </w:rPr>
        <w:t xml:space="preserve"> del decreto legislativo 30 dicembre 1992, n. 502, predispone entro il 31 dicembre di ogni anno il Programma nazionale ECM, ai sensi dell’articolo 8 dell’Accordo Stato-Regioni del 2 febbraio 2017, sulla base di una programmazione pluriennale finalizzata al superamento delle criticità e al miglioramento del sistema della formazione continua.</w:t>
      </w:r>
    </w:p>
    <w:p w14:paraId="52DAC3E4" w14:textId="77777777" w:rsidR="00CA0D47" w:rsidRPr="00B37AAD" w:rsidRDefault="00CA0D47" w:rsidP="00365E22">
      <w:pPr>
        <w:tabs>
          <w:tab w:val="left" w:pos="426"/>
        </w:tabs>
        <w:spacing w:after="60" w:line="276" w:lineRule="auto"/>
        <w:jc w:val="both"/>
        <w:rPr>
          <w:lang w:val="it-IT"/>
        </w:rPr>
      </w:pPr>
      <w:r w:rsidRPr="00B37AAD">
        <w:rPr>
          <w:lang w:val="it-IT"/>
        </w:rPr>
        <w:t>Spetta inoltre alla CNFC definire, nell’ambito dell’obbligo formativo individuale triennale ECM, una specifica percentuale di crediti da destinare ai percorsi formativi relativi all’alfabetizzazione e all’utilizzo dei sistemi di intelligenza artificiale.</w:t>
      </w:r>
    </w:p>
    <w:p w14:paraId="2D99E75B" w14:textId="77777777" w:rsidR="00CA0D47" w:rsidRPr="00B37AAD" w:rsidRDefault="00CA0D47" w:rsidP="00365E22">
      <w:pPr>
        <w:tabs>
          <w:tab w:val="left" w:pos="426"/>
        </w:tabs>
        <w:spacing w:after="60" w:line="276" w:lineRule="auto"/>
        <w:jc w:val="both"/>
        <w:rPr>
          <w:lang w:val="it-IT"/>
        </w:rPr>
      </w:pPr>
      <w:r w:rsidRPr="00B37AAD">
        <w:rPr>
          <w:lang w:val="it-IT"/>
        </w:rPr>
        <w:t>La tematica dell’intelligenza artificiale si inserisce, pertanto, tra gli argomenti già oggetto della formazione continua, senza comportare nuove procedure di accreditamento per i soggetti erogatori della formazione.</w:t>
      </w:r>
    </w:p>
    <w:p w14:paraId="044D6C9F" w14:textId="77777777" w:rsidR="00CA0D47" w:rsidRPr="00B37AAD" w:rsidRDefault="00CA0D47" w:rsidP="00365E22">
      <w:pPr>
        <w:tabs>
          <w:tab w:val="left" w:pos="426"/>
        </w:tabs>
        <w:spacing w:after="60" w:line="276" w:lineRule="auto"/>
        <w:jc w:val="both"/>
        <w:rPr>
          <w:lang w:val="it-IT"/>
        </w:rPr>
      </w:pPr>
      <w:r w:rsidRPr="00B37AAD">
        <w:rPr>
          <w:lang w:val="it-IT"/>
        </w:rPr>
        <w:t>Per quanto riguarda la formazione manageriale di cui all’articolo 16-</w:t>
      </w:r>
      <w:r w:rsidRPr="00B37AAD">
        <w:rPr>
          <w:i/>
          <w:iCs/>
          <w:lang w:val="it-IT"/>
        </w:rPr>
        <w:t>quinquies</w:t>
      </w:r>
      <w:r w:rsidRPr="00B37AAD">
        <w:rPr>
          <w:lang w:val="it-IT"/>
        </w:rPr>
        <w:t xml:space="preserve"> del decreto legislativo n. 502 del 1992, si evidenzia che l’AGENAS, nell’ambito dei propri obiettivi istituzionali, svolge attività di supporto tecnico-operativo alle politiche statali e regionali di governo del sistema sanitario, all’organizzazione dei servizi, alle prestazioni assistenziali e alla formazione. L’Agenzia realizza tali finalità anche mediante attività di ricerca, monitoraggio, valutazione e formazione orientate allo sviluppo del sistema salute, promuovendo altresì iniziative in materia formativa e fornendo supporto alle Regioni per l’organizzazione e l’attivazione dei corsi di formazione manageriale di cui all’articolo 1, comma 4, lettera c), del decreto legislativo n. 171 del 2016.</w:t>
      </w:r>
    </w:p>
    <w:p w14:paraId="294CCC15" w14:textId="77777777" w:rsidR="00CA0D47" w:rsidRPr="00B37AAD" w:rsidRDefault="00CA0D47" w:rsidP="00365E22">
      <w:pPr>
        <w:spacing w:after="60" w:line="276" w:lineRule="auto"/>
        <w:jc w:val="both"/>
        <w:rPr>
          <w:lang w:val="it-IT"/>
        </w:rPr>
      </w:pPr>
      <w:r w:rsidRPr="00B37AAD">
        <w:rPr>
          <w:lang w:val="it-IT"/>
        </w:rPr>
        <w:t xml:space="preserve">In tale ambito, e sulla base delle funzioni attribuite ad AGENAS, il decreto del Ministro della salute 29 marzo 2023, recante “Individuazione dell’organismo intermedio per l’attuazione dell’intervento </w:t>
      </w:r>
      <w:r w:rsidRPr="00B37AAD">
        <w:rPr>
          <w:lang w:val="it-IT"/>
        </w:rPr>
        <w:lastRenderedPageBreak/>
        <w:t>previsto dal Piano nazionale di ripresa e resilienza, Missione M6, Componente 2.2c «Sviluppo delle competenze tecniche-professionali, digitali e manageriali del personale del sistema sanitario» – sub misura: corso di formazione manageriale”, prevede che l’Agenzia individui specifici programmi formativi in materia di intelligenza artificiale da inserire nell’ambito dei corsi di formazione manageriale.</w:t>
      </w:r>
    </w:p>
    <w:p w14:paraId="023DFD93" w14:textId="77777777" w:rsidR="00CA0D47" w:rsidRPr="009411D9" w:rsidRDefault="00CA0D47" w:rsidP="00365E22">
      <w:pPr>
        <w:spacing w:after="60" w:line="276" w:lineRule="auto"/>
        <w:jc w:val="both"/>
        <w:rPr>
          <w:lang w:val="it-IT"/>
        </w:rPr>
      </w:pPr>
      <w:r w:rsidRPr="00B37AAD">
        <w:rPr>
          <w:b/>
          <w:bCs/>
          <w:lang w:val="it-IT"/>
        </w:rPr>
        <w:t>Le disposizioni innanzi descritte si fondano sul ruolo già attribuito ad AGENAS e alla CNFC dalla normativa vigente e, pertanto, avendo carattere esclusivamente regolamentare, non comportano nuovi o maggiori oneri a carico della finanza pubblica</w:t>
      </w:r>
      <w:r w:rsidRPr="00B37AAD">
        <w:rPr>
          <w:lang w:val="it-IT"/>
        </w:rPr>
        <w:t>.</w:t>
      </w:r>
    </w:p>
    <w:p w14:paraId="2B26B355" w14:textId="233C41CE" w:rsidR="00A869D6" w:rsidRPr="00A869D6" w:rsidRDefault="009411D9" w:rsidP="00A869D6">
      <w:pPr>
        <w:keepNext/>
        <w:keepLines/>
        <w:spacing w:after="60" w:line="276" w:lineRule="auto"/>
        <w:jc w:val="both"/>
        <w:rPr>
          <w:b/>
          <w:bCs/>
          <w:lang w:val="it-IT"/>
        </w:rPr>
      </w:pPr>
      <w:r w:rsidRPr="009411D9">
        <w:rPr>
          <w:lang w:val="it-IT"/>
        </w:rPr>
        <w:t xml:space="preserve">Il </w:t>
      </w:r>
      <w:r w:rsidR="00A869D6" w:rsidRPr="00A869D6">
        <w:rPr>
          <w:b/>
          <w:bCs/>
          <w:lang w:val="it-IT"/>
        </w:rPr>
        <w:t>Capo IV</w:t>
      </w:r>
      <w:r w:rsidRPr="009411D9">
        <w:rPr>
          <w:lang w:val="it-IT"/>
        </w:rPr>
        <w:t xml:space="preserve"> reca disposizioni sulle i</w:t>
      </w:r>
      <w:r w:rsidR="00A869D6" w:rsidRPr="009411D9">
        <w:rPr>
          <w:lang w:val="it-IT"/>
        </w:rPr>
        <w:t>nformazioni aziendali e</w:t>
      </w:r>
      <w:r w:rsidRPr="009411D9">
        <w:rPr>
          <w:lang w:val="it-IT"/>
        </w:rPr>
        <w:t xml:space="preserve"> sulle</w:t>
      </w:r>
      <w:r w:rsidR="00A869D6" w:rsidRPr="009411D9">
        <w:rPr>
          <w:lang w:val="it-IT"/>
        </w:rPr>
        <w:t xml:space="preserve"> esperienze tecnico-industriali concernenti dati, algoritmi e metodi matematici</w:t>
      </w:r>
      <w:r w:rsidRPr="009411D9">
        <w:rPr>
          <w:lang w:val="it-IT"/>
        </w:rPr>
        <w:t>.</w:t>
      </w:r>
    </w:p>
    <w:p w14:paraId="1F35AFDE" w14:textId="77777777" w:rsidR="00CA0D47" w:rsidRPr="00B37AAD" w:rsidRDefault="00CA0D47" w:rsidP="00365E22">
      <w:pPr>
        <w:keepNext/>
        <w:keepLines/>
        <w:spacing w:after="60" w:line="276" w:lineRule="auto"/>
        <w:jc w:val="both"/>
        <w:rPr>
          <w:lang w:val="it-IT"/>
        </w:rPr>
      </w:pPr>
    </w:p>
    <w:p w14:paraId="3BBF9EB4" w14:textId="33227AFD" w:rsidR="00D23C0E" w:rsidRPr="00D23C0E" w:rsidRDefault="007F0AFE" w:rsidP="00D23C0E">
      <w:pPr>
        <w:jc w:val="both"/>
        <w:rPr>
          <w:rFonts w:eastAsia="Calibri"/>
          <w:lang w:val="it-IT"/>
        </w:rPr>
      </w:pPr>
      <w:r>
        <w:rPr>
          <w:lang w:val="it-IT"/>
        </w:rPr>
        <w:t>Con l</w:t>
      </w:r>
      <w:r w:rsidR="00E71BB4" w:rsidRPr="00C35CD3">
        <w:rPr>
          <w:lang w:val="it-IT"/>
        </w:rPr>
        <w:t>’</w:t>
      </w:r>
      <w:r w:rsidR="00E71BB4">
        <w:rPr>
          <w:b/>
          <w:bCs/>
          <w:lang w:val="it-IT"/>
        </w:rPr>
        <w:t>a</w:t>
      </w:r>
      <w:r w:rsidR="00E71BB4" w:rsidRPr="00820CBB">
        <w:rPr>
          <w:b/>
          <w:bCs/>
          <w:lang w:val="it-IT"/>
        </w:rPr>
        <w:t xml:space="preserve">rticolo </w:t>
      </w:r>
      <w:r w:rsidR="00E71BB4">
        <w:rPr>
          <w:b/>
          <w:bCs/>
          <w:lang w:val="it-IT"/>
        </w:rPr>
        <w:t>51</w:t>
      </w:r>
      <w:r w:rsidR="00E71BB4" w:rsidRPr="00820CBB">
        <w:rPr>
          <w:b/>
          <w:bCs/>
          <w:lang w:val="it-IT"/>
        </w:rPr>
        <w:t xml:space="preserve"> </w:t>
      </w:r>
      <w:r w:rsidR="00E71BB4" w:rsidRPr="00C35CD3">
        <w:rPr>
          <w:i/>
          <w:iCs/>
          <w:lang w:val="it-IT"/>
        </w:rPr>
        <w:t>(Modifiche al codice della proprietà industriale)</w:t>
      </w:r>
      <w:r w:rsidR="00D23C0E" w:rsidRPr="000E2B0C">
        <w:rPr>
          <w:rFonts w:eastAsia="Calibri"/>
          <w:lang w:val="it-IT"/>
        </w:rPr>
        <w:t xml:space="preserve"> </w:t>
      </w:r>
      <w:r w:rsidR="00A43EC5">
        <w:rPr>
          <w:rFonts w:eastAsia="Calibri"/>
          <w:lang w:val="it-IT"/>
        </w:rPr>
        <w:t>dopo</w:t>
      </w:r>
      <w:r w:rsidR="00085D95">
        <w:rPr>
          <w:rFonts w:eastAsia="Calibri"/>
          <w:lang w:val="it-IT"/>
        </w:rPr>
        <w:t xml:space="preserve"> il</w:t>
      </w:r>
      <w:r w:rsidR="00D23C0E" w:rsidRPr="00D23C0E">
        <w:rPr>
          <w:rFonts w:eastAsia="Calibri"/>
          <w:lang w:val="it-IT"/>
        </w:rPr>
        <w:t xml:space="preserve"> comma 1 dell’art. 98 del </w:t>
      </w:r>
      <w:r w:rsidR="00A43EC5" w:rsidRPr="00A43EC5">
        <w:rPr>
          <w:rFonts w:eastAsia="Calibri"/>
          <w:lang w:val="it-IT"/>
        </w:rPr>
        <w:t>codice della proprietà industriale, di cui al d.lgs. 10 febbraio 2005 n. 30</w:t>
      </w:r>
      <w:r w:rsidR="00D23C0E" w:rsidRPr="00D23C0E">
        <w:rPr>
          <w:rFonts w:eastAsia="Calibri"/>
          <w:lang w:val="it-IT"/>
        </w:rPr>
        <w:t>, viene introdotto il successivo comma 1-</w:t>
      </w:r>
      <w:r w:rsidR="00D23C0E" w:rsidRPr="00D23C0E">
        <w:rPr>
          <w:rFonts w:eastAsia="Calibri"/>
          <w:i/>
          <w:iCs/>
          <w:lang w:val="it-IT"/>
        </w:rPr>
        <w:t>bis,</w:t>
      </w:r>
      <w:r w:rsidR="00D23C0E" w:rsidRPr="00D23C0E">
        <w:rPr>
          <w:rFonts w:eastAsia="Calibri"/>
          <w:lang w:val="it-IT"/>
        </w:rPr>
        <w:t xml:space="preserve"> con il quale si precisa che, tra le informazioni aziendali e le esperienze tecnico-industriali tutelabili come segreti commerciali, sono ricompresi i dati, gli algoritmi e i metodi matematici impiegati per l'addestramento di sistemi di intelligenza artificiale. </w:t>
      </w:r>
    </w:p>
    <w:p w14:paraId="41383C01" w14:textId="77777777" w:rsidR="00D23C0E" w:rsidRPr="00D23C0E" w:rsidRDefault="00D23C0E" w:rsidP="00D23C0E">
      <w:pPr>
        <w:jc w:val="both"/>
        <w:rPr>
          <w:rFonts w:eastAsia="Calibri"/>
          <w:lang w:val="it-IT"/>
        </w:rPr>
      </w:pPr>
      <w:r w:rsidRPr="00D23C0E">
        <w:rPr>
          <w:rFonts w:eastAsia="Calibri"/>
          <w:lang w:val="it-IT"/>
        </w:rPr>
        <w:t xml:space="preserve">Inoltre, viene specificato che, ai fini dell’addestramento dei sistemi di intelligenza artificiale, per algoritmi e metodi matematici si intendono le architetture dei modelli, le funzioni di ottimizzazione, le procedure e le configurazioni di addestramento, nonché ogni altro elemento tecnico funzionale allo sviluppo dei sistemi di AI. </w:t>
      </w:r>
    </w:p>
    <w:p w14:paraId="2562B953" w14:textId="77777777" w:rsidR="00D23C0E" w:rsidRPr="00085D95" w:rsidRDefault="00D23C0E" w:rsidP="00D23C0E">
      <w:pPr>
        <w:jc w:val="both"/>
        <w:rPr>
          <w:rFonts w:eastAsia="Calibri"/>
          <w:b/>
          <w:bCs/>
          <w:lang w:val="it-IT"/>
        </w:rPr>
      </w:pPr>
      <w:r w:rsidRPr="00085D95">
        <w:rPr>
          <w:rFonts w:eastAsia="Calibri"/>
          <w:b/>
          <w:bCs/>
          <w:lang w:val="it-IT"/>
        </w:rPr>
        <w:t>Dal punto di vista finanziario, la norma non comporta nuovi o maggiori oneri per la finanza pubblica, in quanto persegue una finalità meramente descrittiva del dettato normativo, agevolando un più lineare inquadramento sistematico delle tecnologie emergenti.</w:t>
      </w:r>
    </w:p>
    <w:p w14:paraId="576C5927" w14:textId="77777777" w:rsidR="00D23C0E" w:rsidRPr="00D23C0E" w:rsidRDefault="00D23C0E" w:rsidP="00D23C0E">
      <w:pPr>
        <w:spacing w:line="276" w:lineRule="auto"/>
        <w:jc w:val="both"/>
        <w:rPr>
          <w:rFonts w:eastAsia="Calibri"/>
          <w:i/>
          <w:iCs/>
          <w:lang w:val="it-IT"/>
        </w:rPr>
      </w:pPr>
    </w:p>
    <w:p w14:paraId="72A50941" w14:textId="37405DDB" w:rsidR="00D23C0E" w:rsidRPr="00D23C0E" w:rsidRDefault="000C44FA" w:rsidP="00D23C0E">
      <w:pPr>
        <w:spacing w:line="276" w:lineRule="auto"/>
        <w:jc w:val="both"/>
        <w:rPr>
          <w:rFonts w:eastAsia="Calibri"/>
          <w:lang w:val="it-IT"/>
        </w:rPr>
      </w:pPr>
      <w:r>
        <w:rPr>
          <w:rFonts w:eastAsia="Aptos"/>
          <w:kern w:val="2"/>
          <w:bdr w:val="none" w:sz="0" w:space="0" w:color="auto"/>
          <w:lang w:val="it-IT"/>
          <w14:ligatures w14:val="standardContextual"/>
        </w:rPr>
        <w:t>Con l</w:t>
      </w:r>
      <w:r w:rsidR="00B15BBA" w:rsidRPr="0004087F">
        <w:rPr>
          <w:rFonts w:eastAsia="Aptos"/>
          <w:kern w:val="2"/>
          <w:bdr w:val="none" w:sz="0" w:space="0" w:color="auto"/>
          <w:lang w:val="it-IT"/>
          <w14:ligatures w14:val="standardContextual"/>
        </w:rPr>
        <w:t>’</w:t>
      </w:r>
      <w:r w:rsidR="00B15BBA">
        <w:rPr>
          <w:rFonts w:eastAsia="Aptos"/>
          <w:b/>
          <w:bCs/>
          <w:kern w:val="2"/>
          <w:bdr w:val="none" w:sz="0" w:space="0" w:color="auto"/>
          <w:lang w:val="it-IT"/>
          <w14:ligatures w14:val="standardContextual"/>
        </w:rPr>
        <w:t>articolo</w:t>
      </w:r>
      <w:r w:rsidR="00B15BBA" w:rsidRPr="00107E5A">
        <w:rPr>
          <w:rFonts w:eastAsia="Aptos"/>
          <w:b/>
          <w:bCs/>
          <w:kern w:val="2"/>
          <w:bdr w:val="none" w:sz="0" w:space="0" w:color="auto"/>
          <w:lang w:val="it-IT"/>
          <w14:ligatures w14:val="standardContextual"/>
        </w:rPr>
        <w:t xml:space="preserve"> </w:t>
      </w:r>
      <w:r w:rsidR="00B15BBA">
        <w:rPr>
          <w:b/>
          <w:bCs/>
          <w:lang w:val="it-IT"/>
        </w:rPr>
        <w:t>52</w:t>
      </w:r>
      <w:r w:rsidR="00B15BBA" w:rsidRPr="00820CBB">
        <w:rPr>
          <w:b/>
          <w:bCs/>
          <w:lang w:val="it-IT"/>
        </w:rPr>
        <w:t xml:space="preserve"> </w:t>
      </w:r>
      <w:r w:rsidR="00B15BBA" w:rsidRPr="00E93F3E">
        <w:rPr>
          <w:lang w:val="it-IT"/>
        </w:rPr>
        <w:t>(</w:t>
      </w:r>
      <w:r w:rsidR="00B15BBA" w:rsidRPr="00E93F3E">
        <w:rPr>
          <w:i/>
          <w:iCs/>
          <w:lang w:val="it-IT"/>
        </w:rPr>
        <w:t>Disposizione processuale</w:t>
      </w:r>
      <w:r w:rsidR="00B15BBA" w:rsidRPr="00E93F3E">
        <w:rPr>
          <w:lang w:val="it-IT"/>
        </w:rPr>
        <w:t>)</w:t>
      </w:r>
      <w:r w:rsidR="00B15BBA">
        <w:rPr>
          <w:lang w:val="it-IT"/>
        </w:rPr>
        <w:t xml:space="preserve"> </w:t>
      </w:r>
      <w:r w:rsidR="00D23C0E" w:rsidRPr="00D23C0E">
        <w:rPr>
          <w:rFonts w:eastAsia="Calibri"/>
          <w:lang w:val="it-IT"/>
        </w:rPr>
        <w:t xml:space="preserve">si devolve la risoluzione delle controversie relative all'utilizzo di dati, algoritmi e metodi matematici per l'addestramento di sistemi di intelligenza artificiale alla competenza delle Sezioni specializzate in materia di impresa, di cui all’articolo 134, comma 1, lettera b) del codice della proprietà industriale. </w:t>
      </w:r>
    </w:p>
    <w:p w14:paraId="4060E585" w14:textId="77777777" w:rsidR="00D23C0E" w:rsidRPr="00085D95" w:rsidRDefault="00D23C0E" w:rsidP="00D23C0E">
      <w:pPr>
        <w:spacing w:line="276" w:lineRule="auto"/>
        <w:jc w:val="both"/>
        <w:rPr>
          <w:rFonts w:eastAsia="Calibri"/>
          <w:b/>
          <w:bCs/>
          <w:lang w:val="it-IT"/>
        </w:rPr>
      </w:pPr>
      <w:r w:rsidRPr="00085D95">
        <w:rPr>
          <w:rFonts w:eastAsia="Calibri"/>
          <w:b/>
          <w:bCs/>
          <w:lang w:val="it-IT"/>
        </w:rPr>
        <w:t>L’intervento normativo non comporta nuovi o maggiori oneri per la finanza pubblica, in quanto la disposizione ha una funzione meramente ricognitiva e di coordinamento sistematico. Con riferimento alle competenze giudiziarie devolute alle Sezioni specializzate in materia di imprese si evidenzia che ai relativi adempimenti potrà provvedersi nell’ambito delle risorse umane, strumentali e finanziarie disponibili a legislazione vigente.</w:t>
      </w:r>
    </w:p>
    <w:p w14:paraId="218C7272" w14:textId="77777777" w:rsidR="003319D8" w:rsidRPr="00085D95" w:rsidRDefault="003319D8" w:rsidP="00365E22">
      <w:pPr>
        <w:keepNext/>
        <w:keepLines/>
        <w:spacing w:after="60" w:line="276" w:lineRule="auto"/>
        <w:jc w:val="both"/>
        <w:rPr>
          <w:b/>
          <w:bCs/>
          <w:lang w:val="it-IT"/>
        </w:rPr>
      </w:pPr>
    </w:p>
    <w:p w14:paraId="01FA197E" w14:textId="77777777" w:rsidR="00AE0627" w:rsidRPr="000E7B95" w:rsidRDefault="00AE0627" w:rsidP="00AE0627">
      <w:pPr>
        <w:pStyle w:val="Nessunaspaziatura"/>
        <w:spacing w:after="60" w:line="276" w:lineRule="auto"/>
        <w:jc w:val="both"/>
        <w:rPr>
          <w:color w:val="000000" w:themeColor="text1"/>
          <w:lang w:val="it-IT"/>
        </w:rPr>
      </w:pPr>
      <w:r>
        <w:rPr>
          <w:rStyle w:val="Nessuno"/>
          <w:color w:val="000000" w:themeColor="text1"/>
        </w:rPr>
        <w:t xml:space="preserve">Il </w:t>
      </w:r>
      <w:r w:rsidRPr="00A71623">
        <w:rPr>
          <w:rStyle w:val="Nessuno"/>
          <w:b/>
          <w:bCs/>
          <w:color w:val="000000" w:themeColor="text1"/>
        </w:rPr>
        <w:t xml:space="preserve">Capo </w:t>
      </w:r>
      <w:r>
        <w:rPr>
          <w:rStyle w:val="Nessuno"/>
          <w:b/>
          <w:bCs/>
          <w:color w:val="000000" w:themeColor="text1"/>
        </w:rPr>
        <w:t>V</w:t>
      </w:r>
      <w:r>
        <w:rPr>
          <w:rStyle w:val="Nessuno"/>
          <w:color w:val="000000" w:themeColor="text1"/>
        </w:rPr>
        <w:t xml:space="preserve"> reca </w:t>
      </w:r>
      <w:proofErr w:type="spellStart"/>
      <w:r>
        <w:rPr>
          <w:rStyle w:val="Nessuno"/>
          <w:color w:val="000000" w:themeColor="text1"/>
        </w:rPr>
        <w:t>dispsosizioni</w:t>
      </w:r>
      <w:proofErr w:type="spellEnd"/>
      <w:r>
        <w:rPr>
          <w:rStyle w:val="Nessuno"/>
          <w:color w:val="000000" w:themeColor="text1"/>
        </w:rPr>
        <w:t xml:space="preserve"> </w:t>
      </w:r>
      <w:r w:rsidRPr="00A76162">
        <w:rPr>
          <w:rFonts w:eastAsia="Aptos"/>
          <w:kern w:val="2"/>
          <w:bdr w:val="none" w:sz="0" w:space="0" w:color="auto"/>
          <w:lang w:val="it-IT"/>
          <w14:ligatures w14:val="standardContextual"/>
        </w:rPr>
        <w:t>finanziarie</w:t>
      </w:r>
      <w:r>
        <w:rPr>
          <w:rStyle w:val="Nessuno"/>
          <w:color w:val="000000" w:themeColor="text1"/>
        </w:rPr>
        <w:t xml:space="preserve"> e si compone di un unico articolo, dedicato </w:t>
      </w:r>
      <w:r>
        <w:rPr>
          <w:color w:val="000000" w:themeColor="text1"/>
          <w:lang w:val="it-IT"/>
        </w:rPr>
        <w:t>c</w:t>
      </w:r>
      <w:r w:rsidRPr="000E7B95">
        <w:rPr>
          <w:color w:val="000000" w:themeColor="text1"/>
          <w:lang w:val="it-IT"/>
        </w:rPr>
        <w:t>lausola di invarianza finanziaria</w:t>
      </w:r>
      <w:r w:rsidRPr="000E7B95">
        <w:rPr>
          <w:rStyle w:val="Nessuno"/>
          <w:color w:val="000000" w:themeColor="text1"/>
        </w:rPr>
        <w:t>.</w:t>
      </w:r>
    </w:p>
    <w:p w14:paraId="5A13FAD0" w14:textId="7118E20C" w:rsidR="003319D8" w:rsidRPr="00B37AAD" w:rsidRDefault="003319D8" w:rsidP="003319D8">
      <w:pPr>
        <w:pStyle w:val="Nessunaspaziatura"/>
        <w:spacing w:after="60" w:line="276" w:lineRule="auto"/>
        <w:jc w:val="both"/>
        <w:rPr>
          <w:lang w:val="it-IT"/>
        </w:rPr>
      </w:pPr>
      <w:r w:rsidRPr="00B37AAD">
        <w:rPr>
          <w:bCs/>
          <w:lang w:val="it-IT"/>
        </w:rPr>
        <w:t>L’</w:t>
      </w:r>
      <w:r w:rsidRPr="00B37AAD">
        <w:rPr>
          <w:b/>
          <w:bCs/>
          <w:lang w:val="it-IT"/>
        </w:rPr>
        <w:t>articolo 53</w:t>
      </w:r>
      <w:r w:rsidRPr="00B37AAD">
        <w:rPr>
          <w:lang w:val="it-IT"/>
        </w:rPr>
        <w:t xml:space="preserve"> </w:t>
      </w:r>
      <w:r w:rsidR="00EE1041" w:rsidRPr="00841105">
        <w:rPr>
          <w:color w:val="000000" w:themeColor="text1"/>
          <w:lang w:val="it-IT"/>
        </w:rPr>
        <w:t>(</w:t>
      </w:r>
      <w:r w:rsidR="00EE1041" w:rsidRPr="00D35033">
        <w:rPr>
          <w:i/>
          <w:iCs/>
          <w:color w:val="000000" w:themeColor="text1"/>
          <w:lang w:val="it-IT"/>
        </w:rPr>
        <w:t>Clausola di invarianza finanziaria</w:t>
      </w:r>
      <w:r w:rsidR="00EE1041" w:rsidRPr="00841105">
        <w:rPr>
          <w:color w:val="000000" w:themeColor="text1"/>
          <w:lang w:val="it-IT"/>
        </w:rPr>
        <w:t xml:space="preserve">) </w:t>
      </w:r>
      <w:r w:rsidRPr="00B37AAD">
        <w:rPr>
          <w:lang w:val="it-IT"/>
        </w:rPr>
        <w:t>reca, in stretta aderenza con quanto previsto dall’articolo 27 della legge n. 132/2025, la clausola di invarianza finanziaria.</w:t>
      </w:r>
    </w:p>
    <w:p w14:paraId="4B89E543" w14:textId="77777777" w:rsidR="003319D8" w:rsidRPr="00B37AAD" w:rsidRDefault="003319D8" w:rsidP="003319D8">
      <w:pPr>
        <w:pStyle w:val="Nessunaspaziatura"/>
        <w:spacing w:after="60" w:line="276" w:lineRule="auto"/>
        <w:jc w:val="both"/>
        <w:rPr>
          <w:lang w:val="it-IT"/>
        </w:rPr>
      </w:pPr>
      <w:r w:rsidRPr="00B37AAD">
        <w:rPr>
          <w:lang w:val="it-IT"/>
        </w:rPr>
        <w:t>L’AgID, in coerenza con quanto previsto dalla clausola di invarianza finanziaria, assicura l’espletamento delle nuove funzioni, in quanto omogenee, complementari e coerenti con il perimetro di attività già attribuito.</w:t>
      </w:r>
    </w:p>
    <w:p w14:paraId="042D242B" w14:textId="77777777" w:rsidR="003319D8" w:rsidRPr="00B37AAD" w:rsidRDefault="003319D8" w:rsidP="003319D8">
      <w:pPr>
        <w:pStyle w:val="Nessunaspaziatura"/>
        <w:spacing w:after="60" w:line="276" w:lineRule="auto"/>
        <w:jc w:val="both"/>
        <w:rPr>
          <w:lang w:val="it-IT"/>
        </w:rPr>
      </w:pPr>
      <w:r w:rsidRPr="00B37AAD">
        <w:rPr>
          <w:lang w:val="it-IT"/>
        </w:rPr>
        <w:t>Invero, la perdurante limitatezza delle risorse umane e finanziarie disponibili impone un costante sforzo di razionalizzazione e prioritizzazione delle attività, evidenziando l’esigenza, già più volte rappresentata, di un progressivo adeguamento della dotazione organica e delle risorse a fronte del progressivo ampliamento delle competenze attribuite.</w:t>
      </w:r>
    </w:p>
    <w:p w14:paraId="52D13D84" w14:textId="150EF835" w:rsidR="003319D8" w:rsidRPr="00B37AAD" w:rsidRDefault="003319D8" w:rsidP="003319D8">
      <w:pPr>
        <w:pStyle w:val="Nessunaspaziatura"/>
        <w:spacing w:after="60" w:line="276" w:lineRule="auto"/>
        <w:jc w:val="both"/>
        <w:rPr>
          <w:lang w:val="it-IT"/>
        </w:rPr>
      </w:pPr>
      <w:r w:rsidRPr="00B37AAD">
        <w:rPr>
          <w:lang w:val="it-IT"/>
        </w:rPr>
        <w:lastRenderedPageBreak/>
        <w:t>Tuttavia, l’Agenzia dispone già di un patrimonio organizzativo, regolatorio e tecnico consolidato, che consente di assorbire progressivamente nuovi compiti senza imporre un immediat</w:t>
      </w:r>
      <w:r w:rsidR="00412237">
        <w:rPr>
          <w:lang w:val="it-IT"/>
        </w:rPr>
        <w:t>o</w:t>
      </w:r>
      <w:r w:rsidRPr="00B37AAD">
        <w:rPr>
          <w:lang w:val="it-IT"/>
        </w:rPr>
        <w:t xml:space="preserve"> adeguamento strutturale in quanto le nuove attribuzioni si collocano nel solco delle competenze già esercitate, non configurandosi come un ampliamento eterogeneo delle medesime; ciò implica che le competenze richieste siano già presenti, almeno in parte, all’interno dell’Agenzia, e possano essere valorizzate mediante processi di coordinamento interno e razionalizzazione delle attività.</w:t>
      </w:r>
    </w:p>
    <w:p w14:paraId="4031DE20" w14:textId="77777777" w:rsidR="003319D8" w:rsidRPr="00B37AAD" w:rsidRDefault="003319D8" w:rsidP="003319D8">
      <w:pPr>
        <w:pStyle w:val="Nessunaspaziatura"/>
        <w:spacing w:after="60" w:line="276" w:lineRule="auto"/>
        <w:jc w:val="both"/>
        <w:rPr>
          <w:lang w:val="it-IT"/>
        </w:rPr>
      </w:pPr>
      <w:r w:rsidRPr="00B37AAD">
        <w:rPr>
          <w:lang w:val="it-IT"/>
        </w:rPr>
        <w:t>La sostenibilità delle funzioni attribuite ad ACN è garantita dalla disponibilità presso l’Agenzia di strutture organizzative competenti in materia. Inoltre, i connessi compiti risultano coerenti con le funzioni già attribuite e regolarmente svolte ai sensi dell’articolo 7 del decreto-legge n. 82/2021 e, in particolare, del comma 1, lettera r). Invero, l’Agenzia, dalla sua istituzione nel 2021 ad oggi, ha registrato una crescita costante sia in termini di stanziamenti annuali (fissati all’articolo 18 del richiamato decreto-legge istitutivo ed incrementati da successive disposizioni autorizzative) e di personale altamente specializzato. A tale riguardo, si rappresenta che la dotazione organica potrà raggiungere, con il decreto del Presidente del Consiglio dei ministri del 29 settembre 2025, le 669 unità di personale già nel corrente anno 2026.</w:t>
      </w:r>
    </w:p>
    <w:p w14:paraId="54233E0D" w14:textId="77777777" w:rsidR="003319D8" w:rsidRPr="00B37AAD" w:rsidRDefault="003319D8" w:rsidP="003319D8">
      <w:pPr>
        <w:pStyle w:val="CorpoA"/>
        <w:spacing w:after="60" w:line="276" w:lineRule="auto"/>
        <w:ind w:left="0" w:firstLine="0"/>
        <w:rPr>
          <w:rStyle w:val="Nessuno"/>
          <w:rFonts w:ascii="Times New Roman" w:hAnsi="Times New Roman" w:cs="Times New Roman"/>
          <w:color w:val="auto"/>
          <w:lang w:eastAsia="en-US"/>
        </w:rPr>
      </w:pPr>
      <w:r w:rsidRPr="00B37AAD">
        <w:rPr>
          <w:rFonts w:ascii="Times New Roman" w:hAnsi="Times New Roman" w:cs="Times New Roman"/>
        </w:rPr>
        <w:t xml:space="preserve">Per quanto concerne le Autorità del settore finanziario, </w:t>
      </w:r>
      <w:r w:rsidRPr="00B37AAD">
        <w:rPr>
          <w:rFonts w:ascii="Times New Roman" w:hAnsi="Times New Roman" w:cs="Times New Roman"/>
          <w:color w:val="000000" w:themeColor="text1"/>
        </w:rPr>
        <w:t xml:space="preserve">si osserva  </w:t>
      </w:r>
      <w:r w:rsidRPr="00B37AAD">
        <w:rPr>
          <w:rFonts w:ascii="Times New Roman" w:eastAsia="Calibri" w:hAnsi="Times New Roman" w:cs="Times New Roman"/>
        </w:rPr>
        <w:t>che</w:t>
      </w:r>
      <w:r w:rsidRPr="00B37AAD">
        <w:rPr>
          <w:rFonts w:ascii="Times New Roman" w:eastAsia="Calibri" w:hAnsi="Times New Roman" w:cs="Times New Roman"/>
          <w:b/>
          <w:bCs/>
        </w:rPr>
        <w:t xml:space="preserve"> </w:t>
      </w:r>
      <w:r w:rsidRPr="00B37AAD">
        <w:rPr>
          <w:rFonts w:ascii="Times New Roman" w:eastAsia="Calibri" w:hAnsi="Times New Roman" w:cs="Times New Roman"/>
        </w:rPr>
        <w:t>la Banca d’Italia ha, ai sensi degli articoli 131 e 282 del TFUE, un bilancio autonomo e gode della più ampia indipendenza finanziaria mentre la Consob e l’IVASS provvedono autonomamente, con forme di autofinanziamento, attraverso le contribuzioni dovute dai soggetti vigilati, alla copertura dei costi derivanti dalle attività svolte. Pertanto, le Autorità sopra indicate provvedono all’attuazione dei compiti di cui al presente decreto con le risorse umane, strumentali e finanziarie disponibili a legislazione vigente, e comunque senza nuovi o maggiori oneri a carico della finanza pubblica.</w:t>
      </w:r>
    </w:p>
    <w:p w14:paraId="65CC5987" w14:textId="77777777" w:rsidR="00CA0D47" w:rsidRPr="00B37AAD" w:rsidRDefault="00CA0D47" w:rsidP="00365E22">
      <w:pPr>
        <w:pStyle w:val="CorpoA"/>
        <w:spacing w:after="60" w:line="276" w:lineRule="auto"/>
        <w:rPr>
          <w:rStyle w:val="Nessuno"/>
          <w:rFonts w:ascii="Times New Roman" w:hAnsi="Times New Roman" w:cs="Times New Roman"/>
        </w:rPr>
      </w:pPr>
    </w:p>
    <w:sectPr w:rsidR="00CA0D47" w:rsidRPr="00B37AAD" w:rsidSect="009D6FE9">
      <w:headerReference w:type="default" r:id="rId11"/>
      <w:footerReference w:type="default" r:id="rId12"/>
      <w:headerReference w:type="first" r:id="rId13"/>
      <w:pgSz w:w="11900"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9056" w14:textId="77777777" w:rsidR="00717D0B" w:rsidRDefault="00717D0B" w:rsidP="00344A40">
      <w:r>
        <w:separator/>
      </w:r>
    </w:p>
  </w:endnote>
  <w:endnote w:type="continuationSeparator" w:id="0">
    <w:p w14:paraId="08A815EC" w14:textId="77777777" w:rsidR="00717D0B" w:rsidRDefault="00717D0B" w:rsidP="00344A40">
      <w:r>
        <w:continuationSeparator/>
      </w:r>
    </w:p>
  </w:endnote>
  <w:endnote w:type="continuationNotice" w:id="1">
    <w:p w14:paraId="2CF7CE60" w14:textId="77777777" w:rsidR="00717D0B" w:rsidRDefault="0071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338B" w14:textId="5B513960" w:rsidR="005B1CC2" w:rsidRDefault="005B1CC2" w:rsidP="001862FE">
    <w:pPr>
      <w:pStyle w:val="CorpoA"/>
      <w:tabs>
        <w:tab w:val="center" w:pos="4833"/>
      </w:tabs>
      <w:spacing w:after="0" w:line="259" w:lineRule="auto"/>
      <w:ind w:left="0" w:firstLine="0"/>
      <w:jc w:val="right"/>
    </w:pPr>
    <w:r>
      <w:rPr>
        <w:rStyle w:val="Nessuno"/>
        <w:rFonts w:ascii="Times New Roman" w:hAnsi="Times New Roman"/>
        <w:sz w:val="22"/>
        <w:szCs w:val="22"/>
      </w:rPr>
      <w:fldChar w:fldCharType="begin"/>
    </w:r>
    <w:r>
      <w:rPr>
        <w:rStyle w:val="Nessuno"/>
        <w:rFonts w:ascii="Times New Roman" w:hAnsi="Times New Roman"/>
        <w:sz w:val="22"/>
        <w:szCs w:val="22"/>
      </w:rPr>
      <w:instrText xml:space="preserve"> PAGE   \* MERGEFORMAT </w:instrText>
    </w:r>
    <w:r>
      <w:rPr>
        <w:rStyle w:val="Nessuno"/>
        <w:rFonts w:ascii="Times New Roman" w:hAnsi="Times New Roman"/>
        <w:sz w:val="22"/>
        <w:szCs w:val="22"/>
      </w:rPr>
      <w:fldChar w:fldCharType="separate"/>
    </w:r>
    <w:r w:rsidR="006E1BBB">
      <w:rPr>
        <w:rStyle w:val="Nessuno"/>
        <w:rFonts w:ascii="Times New Roman" w:hAnsi="Times New Roman"/>
        <w:noProof/>
        <w:sz w:val="22"/>
        <w:szCs w:val="22"/>
      </w:rPr>
      <w:t>5</w:t>
    </w:r>
    <w:r>
      <w:rPr>
        <w:rStyle w:val="Nessuno"/>
        <w:rFonts w:ascii="Times New Roman" w:hAnsi="Times New Roman"/>
        <w:sz w:val="22"/>
        <w:szCs w:val="22"/>
      </w:rPr>
      <w:fldChar w:fldCharType="end"/>
    </w:r>
    <w:r w:rsidRPr="00C92872">
      <w:rPr>
        <w:rStyle w:val="Nessuno"/>
        <w:rFonts w:ascii="Times New Roman" w:hAnsi="Times New Roman"/>
        <w:sz w:val="22"/>
        <w:szCs w:val="22"/>
      </w:rPr>
      <w:t>/</w:t>
    </w:r>
    <w:r w:rsidRPr="00C92872">
      <w:rPr>
        <w:rStyle w:val="Nessuno"/>
        <w:sz w:val="22"/>
        <w:szCs w:val="22"/>
      </w:rPr>
      <w:fldChar w:fldCharType="begin"/>
    </w:r>
    <w:r w:rsidRPr="00C92872">
      <w:rPr>
        <w:rStyle w:val="Nessuno"/>
        <w:sz w:val="22"/>
        <w:szCs w:val="22"/>
      </w:rPr>
      <w:instrText xml:space="preserve"> NUMPAGES </w:instrText>
    </w:r>
    <w:r w:rsidRPr="00C92872">
      <w:rPr>
        <w:rStyle w:val="Nessuno"/>
        <w:sz w:val="22"/>
        <w:szCs w:val="22"/>
      </w:rPr>
      <w:fldChar w:fldCharType="separate"/>
    </w:r>
    <w:r w:rsidR="006E1BBB">
      <w:rPr>
        <w:rStyle w:val="Nessuno"/>
        <w:noProof/>
        <w:sz w:val="22"/>
        <w:szCs w:val="22"/>
      </w:rPr>
      <w:t>9</w:t>
    </w:r>
    <w:r w:rsidRPr="00C92872">
      <w:rPr>
        <w:rStyle w:val="Nessun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C80E" w14:textId="77777777" w:rsidR="00717D0B" w:rsidRDefault="00717D0B" w:rsidP="00344A40">
      <w:r>
        <w:separator/>
      </w:r>
    </w:p>
  </w:footnote>
  <w:footnote w:type="continuationSeparator" w:id="0">
    <w:p w14:paraId="781FB5BC" w14:textId="77777777" w:rsidR="00717D0B" w:rsidRDefault="00717D0B" w:rsidP="00344A40">
      <w:r>
        <w:continuationSeparator/>
      </w:r>
    </w:p>
  </w:footnote>
  <w:footnote w:type="continuationNotice" w:id="1">
    <w:p w14:paraId="5AE3B0A8" w14:textId="77777777" w:rsidR="00717D0B" w:rsidRDefault="0071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A79E" w14:textId="65F555DF" w:rsidR="005B1CC2" w:rsidRDefault="005B1CC2">
    <w:pPr>
      <w:pStyle w:val="Intestazione"/>
      <w:tabs>
        <w:tab w:val="right" w:pos="876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8201" w14:textId="6BCD1CED" w:rsidR="005B1CC2" w:rsidRPr="00CC7C7A" w:rsidRDefault="005B1CC2">
    <w:pPr>
      <w:pStyle w:val="Intestazione"/>
      <w:tabs>
        <w:tab w:val="right" w:pos="8762"/>
      </w:tabs>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FDC"/>
    <w:multiLevelType w:val="multilevel"/>
    <w:tmpl w:val="EAB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94A6A"/>
    <w:multiLevelType w:val="hybridMultilevel"/>
    <w:tmpl w:val="B966F6DA"/>
    <w:lvl w:ilvl="0" w:tplc="641A9D14">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A61940"/>
    <w:multiLevelType w:val="multilevel"/>
    <w:tmpl w:val="E53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46936"/>
    <w:multiLevelType w:val="hybridMultilevel"/>
    <w:tmpl w:val="30D22DC0"/>
    <w:lvl w:ilvl="0" w:tplc="8DF6913A">
      <w:start w:val="1"/>
      <w:numFmt w:val="lowerLetter"/>
      <w:pStyle w:val="CommentoDifesa"/>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D7121B"/>
    <w:multiLevelType w:val="hybridMultilevel"/>
    <w:tmpl w:val="9C54C5F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3F2B16AC"/>
    <w:multiLevelType w:val="hybridMultilevel"/>
    <w:tmpl w:val="E29C19BE"/>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B1383D"/>
    <w:multiLevelType w:val="hybridMultilevel"/>
    <w:tmpl w:val="F280A2C8"/>
    <w:lvl w:ilvl="0" w:tplc="53EAA3A0">
      <w:start w:val="1"/>
      <w:numFmt w:val="lowerLetter"/>
      <w:lvlText w:val="%1)"/>
      <w:lvlJc w:val="left"/>
      <w:pPr>
        <w:ind w:left="720" w:hanging="360"/>
      </w:pPr>
      <w:rPr>
        <w:rFonts w:asciiTheme="majorHAnsi" w:eastAsia="Arial Unicode MS" w:hAnsiTheme="majorHAnsi" w:cstheme="maj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172F48"/>
    <w:multiLevelType w:val="hybridMultilevel"/>
    <w:tmpl w:val="92BCCF2A"/>
    <w:lvl w:ilvl="0" w:tplc="26FAB7AA">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54652C"/>
    <w:multiLevelType w:val="multilevel"/>
    <w:tmpl w:val="395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87CF0"/>
    <w:multiLevelType w:val="multilevel"/>
    <w:tmpl w:val="A5EA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7462A"/>
    <w:multiLevelType w:val="hybridMultilevel"/>
    <w:tmpl w:val="69DCAD26"/>
    <w:lvl w:ilvl="0" w:tplc="52700CE8">
      <w:start w:val="3"/>
      <w:numFmt w:val="bullet"/>
      <w:lvlText w:val="-"/>
      <w:lvlJc w:val="left"/>
      <w:pPr>
        <w:ind w:left="2280" w:hanging="360"/>
      </w:pPr>
      <w:rPr>
        <w:rFonts w:ascii="Book Antiqua" w:eastAsia="Times New Roman" w:hAnsi="Book Antiqua" w:cs="Tahoma"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1" w15:restartNumberingAfterBreak="0">
    <w:nsid w:val="7FF80F48"/>
    <w:multiLevelType w:val="hybridMultilevel"/>
    <w:tmpl w:val="EF5432CA"/>
    <w:lvl w:ilvl="0" w:tplc="E15059EA">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9597484">
    <w:abstractNumId w:val="3"/>
  </w:num>
  <w:num w:numId="2" w16cid:durableId="1490367039">
    <w:abstractNumId w:val="5"/>
  </w:num>
  <w:num w:numId="3" w16cid:durableId="1737122167">
    <w:abstractNumId w:val="6"/>
  </w:num>
  <w:num w:numId="4" w16cid:durableId="1629819462">
    <w:abstractNumId w:val="4"/>
  </w:num>
  <w:num w:numId="5" w16cid:durableId="1503857270">
    <w:abstractNumId w:val="1"/>
  </w:num>
  <w:num w:numId="6" w16cid:durableId="198713566">
    <w:abstractNumId w:val="7"/>
  </w:num>
  <w:num w:numId="7" w16cid:durableId="681905962">
    <w:abstractNumId w:val="11"/>
  </w:num>
  <w:num w:numId="8" w16cid:durableId="142427015">
    <w:abstractNumId w:val="8"/>
  </w:num>
  <w:num w:numId="9" w16cid:durableId="1460219886">
    <w:abstractNumId w:val="2"/>
  </w:num>
  <w:num w:numId="10" w16cid:durableId="2081904977">
    <w:abstractNumId w:val="0"/>
  </w:num>
  <w:num w:numId="11" w16cid:durableId="642850190">
    <w:abstractNumId w:val="10"/>
  </w:num>
  <w:num w:numId="12" w16cid:durableId="27132646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40"/>
    <w:rsid w:val="00000844"/>
    <w:rsid w:val="00001D4F"/>
    <w:rsid w:val="00003E84"/>
    <w:rsid w:val="00004E64"/>
    <w:rsid w:val="00004FA3"/>
    <w:rsid w:val="00005451"/>
    <w:rsid w:val="00005494"/>
    <w:rsid w:val="000065B3"/>
    <w:rsid w:val="000074F4"/>
    <w:rsid w:val="00007647"/>
    <w:rsid w:val="00007EE6"/>
    <w:rsid w:val="00010081"/>
    <w:rsid w:val="000100A1"/>
    <w:rsid w:val="00010C4B"/>
    <w:rsid w:val="00011C5D"/>
    <w:rsid w:val="00011FE8"/>
    <w:rsid w:val="00012074"/>
    <w:rsid w:val="00012E2B"/>
    <w:rsid w:val="00013928"/>
    <w:rsid w:val="000154BF"/>
    <w:rsid w:val="00015C98"/>
    <w:rsid w:val="00016C63"/>
    <w:rsid w:val="000174D5"/>
    <w:rsid w:val="00017C79"/>
    <w:rsid w:val="00020A1D"/>
    <w:rsid w:val="0002166C"/>
    <w:rsid w:val="000229EB"/>
    <w:rsid w:val="00022BB6"/>
    <w:rsid w:val="00023773"/>
    <w:rsid w:val="000248B7"/>
    <w:rsid w:val="00024CBB"/>
    <w:rsid w:val="00026064"/>
    <w:rsid w:val="00026749"/>
    <w:rsid w:val="00026A72"/>
    <w:rsid w:val="00027A0D"/>
    <w:rsid w:val="00030388"/>
    <w:rsid w:val="00030A2F"/>
    <w:rsid w:val="000310A3"/>
    <w:rsid w:val="00031E1C"/>
    <w:rsid w:val="00032363"/>
    <w:rsid w:val="00032BD1"/>
    <w:rsid w:val="00035661"/>
    <w:rsid w:val="00035CFF"/>
    <w:rsid w:val="00036E25"/>
    <w:rsid w:val="0003753A"/>
    <w:rsid w:val="00040293"/>
    <w:rsid w:val="00040C78"/>
    <w:rsid w:val="0004138B"/>
    <w:rsid w:val="000434A6"/>
    <w:rsid w:val="00043BD7"/>
    <w:rsid w:val="00044159"/>
    <w:rsid w:val="00045AED"/>
    <w:rsid w:val="00045BAB"/>
    <w:rsid w:val="00046B4A"/>
    <w:rsid w:val="00047000"/>
    <w:rsid w:val="00047CB1"/>
    <w:rsid w:val="00051973"/>
    <w:rsid w:val="00051FDD"/>
    <w:rsid w:val="000520A7"/>
    <w:rsid w:val="000520BC"/>
    <w:rsid w:val="0005286E"/>
    <w:rsid w:val="00052E8B"/>
    <w:rsid w:val="00052FBD"/>
    <w:rsid w:val="0005382F"/>
    <w:rsid w:val="000544F1"/>
    <w:rsid w:val="00055710"/>
    <w:rsid w:val="0005776C"/>
    <w:rsid w:val="00057D74"/>
    <w:rsid w:val="00060194"/>
    <w:rsid w:val="00060D89"/>
    <w:rsid w:val="000610DA"/>
    <w:rsid w:val="000614A4"/>
    <w:rsid w:val="00061A98"/>
    <w:rsid w:val="00061EA2"/>
    <w:rsid w:val="000633EC"/>
    <w:rsid w:val="00064854"/>
    <w:rsid w:val="00065487"/>
    <w:rsid w:val="000675BA"/>
    <w:rsid w:val="00067DDB"/>
    <w:rsid w:val="000702E8"/>
    <w:rsid w:val="00071993"/>
    <w:rsid w:val="0007457E"/>
    <w:rsid w:val="00074A22"/>
    <w:rsid w:val="00074A5A"/>
    <w:rsid w:val="00075B97"/>
    <w:rsid w:val="00080611"/>
    <w:rsid w:val="00080A6B"/>
    <w:rsid w:val="00081270"/>
    <w:rsid w:val="00081713"/>
    <w:rsid w:val="000827D1"/>
    <w:rsid w:val="00082C8D"/>
    <w:rsid w:val="00083579"/>
    <w:rsid w:val="000837BC"/>
    <w:rsid w:val="00083FB7"/>
    <w:rsid w:val="000844E0"/>
    <w:rsid w:val="00085816"/>
    <w:rsid w:val="00085D95"/>
    <w:rsid w:val="00085FE8"/>
    <w:rsid w:val="00086099"/>
    <w:rsid w:val="000868E3"/>
    <w:rsid w:val="0008743A"/>
    <w:rsid w:val="00087BF6"/>
    <w:rsid w:val="00091A64"/>
    <w:rsid w:val="000923B2"/>
    <w:rsid w:val="00092AA6"/>
    <w:rsid w:val="0009398B"/>
    <w:rsid w:val="00094299"/>
    <w:rsid w:val="00094414"/>
    <w:rsid w:val="000953CE"/>
    <w:rsid w:val="00095B07"/>
    <w:rsid w:val="00095C75"/>
    <w:rsid w:val="00095CE5"/>
    <w:rsid w:val="00096183"/>
    <w:rsid w:val="000A06BE"/>
    <w:rsid w:val="000A148C"/>
    <w:rsid w:val="000A24AE"/>
    <w:rsid w:val="000A30B4"/>
    <w:rsid w:val="000A30C1"/>
    <w:rsid w:val="000A50E7"/>
    <w:rsid w:val="000A55D7"/>
    <w:rsid w:val="000A5DE5"/>
    <w:rsid w:val="000A6A15"/>
    <w:rsid w:val="000A730F"/>
    <w:rsid w:val="000A7D12"/>
    <w:rsid w:val="000B0AA4"/>
    <w:rsid w:val="000B0E71"/>
    <w:rsid w:val="000B13AC"/>
    <w:rsid w:val="000B146C"/>
    <w:rsid w:val="000B172E"/>
    <w:rsid w:val="000B27AE"/>
    <w:rsid w:val="000B35C4"/>
    <w:rsid w:val="000B3751"/>
    <w:rsid w:val="000B3BF8"/>
    <w:rsid w:val="000B4F61"/>
    <w:rsid w:val="000B4F7F"/>
    <w:rsid w:val="000B58E2"/>
    <w:rsid w:val="000B7F97"/>
    <w:rsid w:val="000C00E1"/>
    <w:rsid w:val="000C1995"/>
    <w:rsid w:val="000C1DF5"/>
    <w:rsid w:val="000C25D4"/>
    <w:rsid w:val="000C3B83"/>
    <w:rsid w:val="000C44FA"/>
    <w:rsid w:val="000C4E3D"/>
    <w:rsid w:val="000C509A"/>
    <w:rsid w:val="000C6431"/>
    <w:rsid w:val="000C6E75"/>
    <w:rsid w:val="000C7216"/>
    <w:rsid w:val="000C7D16"/>
    <w:rsid w:val="000D0361"/>
    <w:rsid w:val="000D1045"/>
    <w:rsid w:val="000D1439"/>
    <w:rsid w:val="000D29F8"/>
    <w:rsid w:val="000D2B74"/>
    <w:rsid w:val="000D3876"/>
    <w:rsid w:val="000D3FDC"/>
    <w:rsid w:val="000D4087"/>
    <w:rsid w:val="000D55A1"/>
    <w:rsid w:val="000D58C4"/>
    <w:rsid w:val="000D5B94"/>
    <w:rsid w:val="000D7826"/>
    <w:rsid w:val="000D7876"/>
    <w:rsid w:val="000D7A1A"/>
    <w:rsid w:val="000E01DF"/>
    <w:rsid w:val="000E048C"/>
    <w:rsid w:val="000E0E35"/>
    <w:rsid w:val="000E1303"/>
    <w:rsid w:val="000E154D"/>
    <w:rsid w:val="000E1BB1"/>
    <w:rsid w:val="000E20F9"/>
    <w:rsid w:val="000E2394"/>
    <w:rsid w:val="000E29A9"/>
    <w:rsid w:val="000E2B0C"/>
    <w:rsid w:val="000E48F5"/>
    <w:rsid w:val="000E4A2F"/>
    <w:rsid w:val="000E4FD0"/>
    <w:rsid w:val="000E50E4"/>
    <w:rsid w:val="000E5B7B"/>
    <w:rsid w:val="000E5BE5"/>
    <w:rsid w:val="000E6407"/>
    <w:rsid w:val="000E73B6"/>
    <w:rsid w:val="000E7AE3"/>
    <w:rsid w:val="000E7C29"/>
    <w:rsid w:val="000F0A6E"/>
    <w:rsid w:val="000F11E0"/>
    <w:rsid w:val="000F1C21"/>
    <w:rsid w:val="000F2759"/>
    <w:rsid w:val="000F27F5"/>
    <w:rsid w:val="000F3488"/>
    <w:rsid w:val="000F6616"/>
    <w:rsid w:val="000F68EE"/>
    <w:rsid w:val="00100467"/>
    <w:rsid w:val="0010161C"/>
    <w:rsid w:val="00102991"/>
    <w:rsid w:val="0010301F"/>
    <w:rsid w:val="00104673"/>
    <w:rsid w:val="0010512A"/>
    <w:rsid w:val="00106422"/>
    <w:rsid w:val="00106BBC"/>
    <w:rsid w:val="00106D85"/>
    <w:rsid w:val="00106F1C"/>
    <w:rsid w:val="001072E4"/>
    <w:rsid w:val="00107C11"/>
    <w:rsid w:val="00107D25"/>
    <w:rsid w:val="0011106B"/>
    <w:rsid w:val="0011111D"/>
    <w:rsid w:val="001113B9"/>
    <w:rsid w:val="00111598"/>
    <w:rsid w:val="001117BD"/>
    <w:rsid w:val="00111E85"/>
    <w:rsid w:val="001122D7"/>
    <w:rsid w:val="00112952"/>
    <w:rsid w:val="00113B65"/>
    <w:rsid w:val="00113CB5"/>
    <w:rsid w:val="00114F79"/>
    <w:rsid w:val="00115284"/>
    <w:rsid w:val="001160A5"/>
    <w:rsid w:val="00117E56"/>
    <w:rsid w:val="00122369"/>
    <w:rsid w:val="001225AC"/>
    <w:rsid w:val="001227A3"/>
    <w:rsid w:val="00124621"/>
    <w:rsid w:val="00124840"/>
    <w:rsid w:val="00125192"/>
    <w:rsid w:val="001259F5"/>
    <w:rsid w:val="00126015"/>
    <w:rsid w:val="00131482"/>
    <w:rsid w:val="00131EB6"/>
    <w:rsid w:val="001321ED"/>
    <w:rsid w:val="0013302F"/>
    <w:rsid w:val="001340B9"/>
    <w:rsid w:val="0013493D"/>
    <w:rsid w:val="00134D6E"/>
    <w:rsid w:val="00135055"/>
    <w:rsid w:val="0013519F"/>
    <w:rsid w:val="001355D1"/>
    <w:rsid w:val="00135F7E"/>
    <w:rsid w:val="00136B58"/>
    <w:rsid w:val="00136ED1"/>
    <w:rsid w:val="00137A3B"/>
    <w:rsid w:val="00137BA3"/>
    <w:rsid w:val="00137BD9"/>
    <w:rsid w:val="00137F2C"/>
    <w:rsid w:val="00141304"/>
    <w:rsid w:val="00141CEB"/>
    <w:rsid w:val="0014202C"/>
    <w:rsid w:val="00142D41"/>
    <w:rsid w:val="0014310A"/>
    <w:rsid w:val="00143396"/>
    <w:rsid w:val="00143943"/>
    <w:rsid w:val="00143979"/>
    <w:rsid w:val="00145703"/>
    <w:rsid w:val="00145801"/>
    <w:rsid w:val="001459D7"/>
    <w:rsid w:val="00146AAE"/>
    <w:rsid w:val="00150720"/>
    <w:rsid w:val="00151105"/>
    <w:rsid w:val="001524A9"/>
    <w:rsid w:val="001528D1"/>
    <w:rsid w:val="00152F63"/>
    <w:rsid w:val="00153A42"/>
    <w:rsid w:val="0015412A"/>
    <w:rsid w:val="0015590A"/>
    <w:rsid w:val="00157FEC"/>
    <w:rsid w:val="00160EB6"/>
    <w:rsid w:val="00163750"/>
    <w:rsid w:val="00164903"/>
    <w:rsid w:val="00164CC0"/>
    <w:rsid w:val="0016534E"/>
    <w:rsid w:val="00166A63"/>
    <w:rsid w:val="00166D0D"/>
    <w:rsid w:val="00167BD2"/>
    <w:rsid w:val="0017078D"/>
    <w:rsid w:val="0017082A"/>
    <w:rsid w:val="00170C09"/>
    <w:rsid w:val="00171142"/>
    <w:rsid w:val="0017337C"/>
    <w:rsid w:val="00173396"/>
    <w:rsid w:val="001744B9"/>
    <w:rsid w:val="00174E67"/>
    <w:rsid w:val="00174EF5"/>
    <w:rsid w:val="0017592E"/>
    <w:rsid w:val="00176A4D"/>
    <w:rsid w:val="001800BB"/>
    <w:rsid w:val="00180178"/>
    <w:rsid w:val="00180BF7"/>
    <w:rsid w:val="0018147B"/>
    <w:rsid w:val="00181747"/>
    <w:rsid w:val="001821F4"/>
    <w:rsid w:val="00182903"/>
    <w:rsid w:val="00182B5E"/>
    <w:rsid w:val="001838B1"/>
    <w:rsid w:val="001856B5"/>
    <w:rsid w:val="00186153"/>
    <w:rsid w:val="001862FE"/>
    <w:rsid w:val="00186AD3"/>
    <w:rsid w:val="00187307"/>
    <w:rsid w:val="00187729"/>
    <w:rsid w:val="0019287B"/>
    <w:rsid w:val="00193CFA"/>
    <w:rsid w:val="00194DB0"/>
    <w:rsid w:val="001964A4"/>
    <w:rsid w:val="00196BCD"/>
    <w:rsid w:val="0019713C"/>
    <w:rsid w:val="001A129A"/>
    <w:rsid w:val="001A2717"/>
    <w:rsid w:val="001A27F8"/>
    <w:rsid w:val="001A27FC"/>
    <w:rsid w:val="001A288C"/>
    <w:rsid w:val="001A367A"/>
    <w:rsid w:val="001A3D0F"/>
    <w:rsid w:val="001A3E0D"/>
    <w:rsid w:val="001A4840"/>
    <w:rsid w:val="001A514B"/>
    <w:rsid w:val="001A56F8"/>
    <w:rsid w:val="001A5BFD"/>
    <w:rsid w:val="001A5EC9"/>
    <w:rsid w:val="001A7F1E"/>
    <w:rsid w:val="001B09B7"/>
    <w:rsid w:val="001B14E7"/>
    <w:rsid w:val="001B214C"/>
    <w:rsid w:val="001B22C5"/>
    <w:rsid w:val="001B2382"/>
    <w:rsid w:val="001B26F8"/>
    <w:rsid w:val="001B2F79"/>
    <w:rsid w:val="001B363D"/>
    <w:rsid w:val="001B3D6E"/>
    <w:rsid w:val="001B4309"/>
    <w:rsid w:val="001B431E"/>
    <w:rsid w:val="001B5088"/>
    <w:rsid w:val="001B5813"/>
    <w:rsid w:val="001B5A0B"/>
    <w:rsid w:val="001B79AD"/>
    <w:rsid w:val="001B7C2C"/>
    <w:rsid w:val="001B7E1D"/>
    <w:rsid w:val="001C047A"/>
    <w:rsid w:val="001C2FEB"/>
    <w:rsid w:val="001C4734"/>
    <w:rsid w:val="001C5182"/>
    <w:rsid w:val="001C6D86"/>
    <w:rsid w:val="001D0E46"/>
    <w:rsid w:val="001D1C1E"/>
    <w:rsid w:val="001D1D17"/>
    <w:rsid w:val="001D1EBA"/>
    <w:rsid w:val="001D2F0B"/>
    <w:rsid w:val="001D4AB8"/>
    <w:rsid w:val="001D6386"/>
    <w:rsid w:val="001D655E"/>
    <w:rsid w:val="001D65E1"/>
    <w:rsid w:val="001D6B88"/>
    <w:rsid w:val="001D7C66"/>
    <w:rsid w:val="001E2113"/>
    <w:rsid w:val="001E25B4"/>
    <w:rsid w:val="001E271A"/>
    <w:rsid w:val="001E3883"/>
    <w:rsid w:val="001E3B39"/>
    <w:rsid w:val="001E4EB3"/>
    <w:rsid w:val="001E50F9"/>
    <w:rsid w:val="001F07C7"/>
    <w:rsid w:val="001F1435"/>
    <w:rsid w:val="001F1E8C"/>
    <w:rsid w:val="001F1F2B"/>
    <w:rsid w:val="001F2E98"/>
    <w:rsid w:val="001F3053"/>
    <w:rsid w:val="001F3096"/>
    <w:rsid w:val="001F3C20"/>
    <w:rsid w:val="001F5FA5"/>
    <w:rsid w:val="001F6E7B"/>
    <w:rsid w:val="00202172"/>
    <w:rsid w:val="00202316"/>
    <w:rsid w:val="002026CD"/>
    <w:rsid w:val="002036DA"/>
    <w:rsid w:val="002044B7"/>
    <w:rsid w:val="002048FE"/>
    <w:rsid w:val="00204D0B"/>
    <w:rsid w:val="00205816"/>
    <w:rsid w:val="00206327"/>
    <w:rsid w:val="00206428"/>
    <w:rsid w:val="002064F7"/>
    <w:rsid w:val="00206B59"/>
    <w:rsid w:val="00207088"/>
    <w:rsid w:val="00207E81"/>
    <w:rsid w:val="00210162"/>
    <w:rsid w:val="0021040F"/>
    <w:rsid w:val="0021084A"/>
    <w:rsid w:val="00210860"/>
    <w:rsid w:val="00211024"/>
    <w:rsid w:val="00212472"/>
    <w:rsid w:val="002138E3"/>
    <w:rsid w:val="00214141"/>
    <w:rsid w:val="00214A95"/>
    <w:rsid w:val="0021501F"/>
    <w:rsid w:val="002168E3"/>
    <w:rsid w:val="00216D5E"/>
    <w:rsid w:val="002171A4"/>
    <w:rsid w:val="00220E35"/>
    <w:rsid w:val="00221A99"/>
    <w:rsid w:val="00221B2E"/>
    <w:rsid w:val="00221EF1"/>
    <w:rsid w:val="00222989"/>
    <w:rsid w:val="00223BD6"/>
    <w:rsid w:val="002252AF"/>
    <w:rsid w:val="0022538D"/>
    <w:rsid w:val="002265D2"/>
    <w:rsid w:val="002270D1"/>
    <w:rsid w:val="00227D9F"/>
    <w:rsid w:val="002310AE"/>
    <w:rsid w:val="00231D16"/>
    <w:rsid w:val="00231D77"/>
    <w:rsid w:val="0023273B"/>
    <w:rsid w:val="00235AFF"/>
    <w:rsid w:val="00236B0E"/>
    <w:rsid w:val="002370E1"/>
    <w:rsid w:val="00237A94"/>
    <w:rsid w:val="0024089E"/>
    <w:rsid w:val="00241410"/>
    <w:rsid w:val="00241A19"/>
    <w:rsid w:val="002425EF"/>
    <w:rsid w:val="002429C6"/>
    <w:rsid w:val="0024312C"/>
    <w:rsid w:val="00243D94"/>
    <w:rsid w:val="002442B3"/>
    <w:rsid w:val="00246135"/>
    <w:rsid w:val="002462C9"/>
    <w:rsid w:val="002462FC"/>
    <w:rsid w:val="002465FD"/>
    <w:rsid w:val="00247DFE"/>
    <w:rsid w:val="002510E8"/>
    <w:rsid w:val="002522A4"/>
    <w:rsid w:val="0025266B"/>
    <w:rsid w:val="00253E61"/>
    <w:rsid w:val="00254273"/>
    <w:rsid w:val="002557A7"/>
    <w:rsid w:val="00255B6F"/>
    <w:rsid w:val="00256280"/>
    <w:rsid w:val="00257A12"/>
    <w:rsid w:val="00257F22"/>
    <w:rsid w:val="002600DC"/>
    <w:rsid w:val="00261181"/>
    <w:rsid w:val="0026166E"/>
    <w:rsid w:val="00262181"/>
    <w:rsid w:val="002633E9"/>
    <w:rsid w:val="00263734"/>
    <w:rsid w:val="002646AE"/>
    <w:rsid w:val="00265411"/>
    <w:rsid w:val="00265772"/>
    <w:rsid w:val="002660F1"/>
    <w:rsid w:val="002663A6"/>
    <w:rsid w:val="00266423"/>
    <w:rsid w:val="00267501"/>
    <w:rsid w:val="002679D4"/>
    <w:rsid w:val="00273235"/>
    <w:rsid w:val="0027390E"/>
    <w:rsid w:val="00274A9F"/>
    <w:rsid w:val="002751E5"/>
    <w:rsid w:val="002752B4"/>
    <w:rsid w:val="002752CC"/>
    <w:rsid w:val="002753D8"/>
    <w:rsid w:val="00275799"/>
    <w:rsid w:val="00275F0F"/>
    <w:rsid w:val="00277799"/>
    <w:rsid w:val="002778AF"/>
    <w:rsid w:val="00277EC7"/>
    <w:rsid w:val="00280835"/>
    <w:rsid w:val="00283CA9"/>
    <w:rsid w:val="002847E7"/>
    <w:rsid w:val="002852BF"/>
    <w:rsid w:val="00285745"/>
    <w:rsid w:val="00286993"/>
    <w:rsid w:val="00286FB6"/>
    <w:rsid w:val="0028740F"/>
    <w:rsid w:val="00287621"/>
    <w:rsid w:val="00290087"/>
    <w:rsid w:val="002916D1"/>
    <w:rsid w:val="00292C3E"/>
    <w:rsid w:val="00294025"/>
    <w:rsid w:val="0029422C"/>
    <w:rsid w:val="00294738"/>
    <w:rsid w:val="002952DC"/>
    <w:rsid w:val="00295C10"/>
    <w:rsid w:val="002966D8"/>
    <w:rsid w:val="00296A16"/>
    <w:rsid w:val="00297E9D"/>
    <w:rsid w:val="002A0710"/>
    <w:rsid w:val="002A1403"/>
    <w:rsid w:val="002A1683"/>
    <w:rsid w:val="002A19D7"/>
    <w:rsid w:val="002A1F89"/>
    <w:rsid w:val="002A24C1"/>
    <w:rsid w:val="002A24CB"/>
    <w:rsid w:val="002A5084"/>
    <w:rsid w:val="002A6095"/>
    <w:rsid w:val="002A6843"/>
    <w:rsid w:val="002A752F"/>
    <w:rsid w:val="002B07D4"/>
    <w:rsid w:val="002B0D14"/>
    <w:rsid w:val="002B0E5E"/>
    <w:rsid w:val="002B100E"/>
    <w:rsid w:val="002B1795"/>
    <w:rsid w:val="002B1988"/>
    <w:rsid w:val="002B30FD"/>
    <w:rsid w:val="002B3265"/>
    <w:rsid w:val="002B37D2"/>
    <w:rsid w:val="002B3EFE"/>
    <w:rsid w:val="002B41F3"/>
    <w:rsid w:val="002B5528"/>
    <w:rsid w:val="002B6240"/>
    <w:rsid w:val="002C00FB"/>
    <w:rsid w:val="002C3012"/>
    <w:rsid w:val="002C3B93"/>
    <w:rsid w:val="002C3DF7"/>
    <w:rsid w:val="002C44A6"/>
    <w:rsid w:val="002C4801"/>
    <w:rsid w:val="002C5198"/>
    <w:rsid w:val="002C6576"/>
    <w:rsid w:val="002C6E95"/>
    <w:rsid w:val="002C7CFB"/>
    <w:rsid w:val="002D0FD4"/>
    <w:rsid w:val="002D1138"/>
    <w:rsid w:val="002D3221"/>
    <w:rsid w:val="002D4108"/>
    <w:rsid w:val="002D44AA"/>
    <w:rsid w:val="002D7754"/>
    <w:rsid w:val="002D7977"/>
    <w:rsid w:val="002E01C7"/>
    <w:rsid w:val="002E28EA"/>
    <w:rsid w:val="002E2DA7"/>
    <w:rsid w:val="002E2FB7"/>
    <w:rsid w:val="002E3514"/>
    <w:rsid w:val="002E3A5D"/>
    <w:rsid w:val="002E5278"/>
    <w:rsid w:val="002E54BD"/>
    <w:rsid w:val="002E5D0B"/>
    <w:rsid w:val="002E6044"/>
    <w:rsid w:val="002E64EA"/>
    <w:rsid w:val="002E656A"/>
    <w:rsid w:val="002E692C"/>
    <w:rsid w:val="002E6C42"/>
    <w:rsid w:val="002F149C"/>
    <w:rsid w:val="002F2696"/>
    <w:rsid w:val="002F28DD"/>
    <w:rsid w:val="002F43D4"/>
    <w:rsid w:val="002F4D7E"/>
    <w:rsid w:val="002F508A"/>
    <w:rsid w:val="002F5186"/>
    <w:rsid w:val="002F61C2"/>
    <w:rsid w:val="002F6685"/>
    <w:rsid w:val="003005CF"/>
    <w:rsid w:val="00301119"/>
    <w:rsid w:val="00301131"/>
    <w:rsid w:val="003018D8"/>
    <w:rsid w:val="0030418E"/>
    <w:rsid w:val="003055D6"/>
    <w:rsid w:val="00306478"/>
    <w:rsid w:val="003066BF"/>
    <w:rsid w:val="00306739"/>
    <w:rsid w:val="00306961"/>
    <w:rsid w:val="00310900"/>
    <w:rsid w:val="00310A3B"/>
    <w:rsid w:val="0031165E"/>
    <w:rsid w:val="0031302F"/>
    <w:rsid w:val="003138D8"/>
    <w:rsid w:val="003141FC"/>
    <w:rsid w:val="00314573"/>
    <w:rsid w:val="00315013"/>
    <w:rsid w:val="0031562E"/>
    <w:rsid w:val="00315833"/>
    <w:rsid w:val="00315AED"/>
    <w:rsid w:val="00315B67"/>
    <w:rsid w:val="00316601"/>
    <w:rsid w:val="00316ECC"/>
    <w:rsid w:val="0031713B"/>
    <w:rsid w:val="003210B4"/>
    <w:rsid w:val="0032180D"/>
    <w:rsid w:val="00321E0A"/>
    <w:rsid w:val="00323B5C"/>
    <w:rsid w:val="00323D4A"/>
    <w:rsid w:val="00325C29"/>
    <w:rsid w:val="00330260"/>
    <w:rsid w:val="00330F1C"/>
    <w:rsid w:val="003319D8"/>
    <w:rsid w:val="00331DA5"/>
    <w:rsid w:val="003324D8"/>
    <w:rsid w:val="00333D76"/>
    <w:rsid w:val="00334147"/>
    <w:rsid w:val="00334411"/>
    <w:rsid w:val="003348C9"/>
    <w:rsid w:val="00335CDD"/>
    <w:rsid w:val="0033759F"/>
    <w:rsid w:val="003376CB"/>
    <w:rsid w:val="00337B0F"/>
    <w:rsid w:val="003413F9"/>
    <w:rsid w:val="003415E4"/>
    <w:rsid w:val="00341858"/>
    <w:rsid w:val="00344A40"/>
    <w:rsid w:val="00345044"/>
    <w:rsid w:val="0034640C"/>
    <w:rsid w:val="00346CB9"/>
    <w:rsid w:val="003475C8"/>
    <w:rsid w:val="0035135B"/>
    <w:rsid w:val="00351CDC"/>
    <w:rsid w:val="00352420"/>
    <w:rsid w:val="00353EED"/>
    <w:rsid w:val="003541BC"/>
    <w:rsid w:val="00354A41"/>
    <w:rsid w:val="003555C9"/>
    <w:rsid w:val="00355DEC"/>
    <w:rsid w:val="003569B1"/>
    <w:rsid w:val="0036148F"/>
    <w:rsid w:val="003616E1"/>
    <w:rsid w:val="00361705"/>
    <w:rsid w:val="0036230F"/>
    <w:rsid w:val="00362DD7"/>
    <w:rsid w:val="00363213"/>
    <w:rsid w:val="0036380A"/>
    <w:rsid w:val="00363852"/>
    <w:rsid w:val="00363F4F"/>
    <w:rsid w:val="00364380"/>
    <w:rsid w:val="00364605"/>
    <w:rsid w:val="00364E8C"/>
    <w:rsid w:val="003652F1"/>
    <w:rsid w:val="003658CB"/>
    <w:rsid w:val="00365922"/>
    <w:rsid w:val="00365E22"/>
    <w:rsid w:val="00366765"/>
    <w:rsid w:val="00366AC1"/>
    <w:rsid w:val="00366BFD"/>
    <w:rsid w:val="00366C2B"/>
    <w:rsid w:val="00366F93"/>
    <w:rsid w:val="003670D7"/>
    <w:rsid w:val="00367357"/>
    <w:rsid w:val="003675A4"/>
    <w:rsid w:val="003675C3"/>
    <w:rsid w:val="003703C5"/>
    <w:rsid w:val="00370C10"/>
    <w:rsid w:val="00372D88"/>
    <w:rsid w:val="003736DD"/>
    <w:rsid w:val="0037414A"/>
    <w:rsid w:val="00375B13"/>
    <w:rsid w:val="00377DBA"/>
    <w:rsid w:val="003810EC"/>
    <w:rsid w:val="00381A1F"/>
    <w:rsid w:val="00381E8E"/>
    <w:rsid w:val="0038425C"/>
    <w:rsid w:val="0038481D"/>
    <w:rsid w:val="003854B9"/>
    <w:rsid w:val="0038586E"/>
    <w:rsid w:val="00386783"/>
    <w:rsid w:val="00387739"/>
    <w:rsid w:val="00387862"/>
    <w:rsid w:val="0039046E"/>
    <w:rsid w:val="003906B4"/>
    <w:rsid w:val="0039134F"/>
    <w:rsid w:val="00393BB2"/>
    <w:rsid w:val="00394BF7"/>
    <w:rsid w:val="003952DE"/>
    <w:rsid w:val="0039553A"/>
    <w:rsid w:val="003A16B4"/>
    <w:rsid w:val="003A25FC"/>
    <w:rsid w:val="003A3613"/>
    <w:rsid w:val="003A4A89"/>
    <w:rsid w:val="003A4DCF"/>
    <w:rsid w:val="003A5456"/>
    <w:rsid w:val="003A641B"/>
    <w:rsid w:val="003A6BAE"/>
    <w:rsid w:val="003A7515"/>
    <w:rsid w:val="003A79BD"/>
    <w:rsid w:val="003B1AC9"/>
    <w:rsid w:val="003B39C3"/>
    <w:rsid w:val="003B4287"/>
    <w:rsid w:val="003B4F22"/>
    <w:rsid w:val="003B5924"/>
    <w:rsid w:val="003B5A68"/>
    <w:rsid w:val="003B6751"/>
    <w:rsid w:val="003B7A72"/>
    <w:rsid w:val="003B7BE1"/>
    <w:rsid w:val="003B7E3F"/>
    <w:rsid w:val="003C0536"/>
    <w:rsid w:val="003C0576"/>
    <w:rsid w:val="003C30AE"/>
    <w:rsid w:val="003C4582"/>
    <w:rsid w:val="003C4717"/>
    <w:rsid w:val="003C523E"/>
    <w:rsid w:val="003C6475"/>
    <w:rsid w:val="003C74F2"/>
    <w:rsid w:val="003C7A67"/>
    <w:rsid w:val="003D00D9"/>
    <w:rsid w:val="003D0298"/>
    <w:rsid w:val="003D0E90"/>
    <w:rsid w:val="003D2AD0"/>
    <w:rsid w:val="003D4856"/>
    <w:rsid w:val="003D5274"/>
    <w:rsid w:val="003D5F1A"/>
    <w:rsid w:val="003D61F6"/>
    <w:rsid w:val="003D6C4E"/>
    <w:rsid w:val="003D7690"/>
    <w:rsid w:val="003E005E"/>
    <w:rsid w:val="003E08AE"/>
    <w:rsid w:val="003E0CBA"/>
    <w:rsid w:val="003E0D47"/>
    <w:rsid w:val="003E166E"/>
    <w:rsid w:val="003E18B0"/>
    <w:rsid w:val="003E351A"/>
    <w:rsid w:val="003E411E"/>
    <w:rsid w:val="003E47C8"/>
    <w:rsid w:val="003E50B2"/>
    <w:rsid w:val="003E57D3"/>
    <w:rsid w:val="003E584E"/>
    <w:rsid w:val="003E62DF"/>
    <w:rsid w:val="003E62FE"/>
    <w:rsid w:val="003E6BC4"/>
    <w:rsid w:val="003E7690"/>
    <w:rsid w:val="003E7C13"/>
    <w:rsid w:val="003E7FD9"/>
    <w:rsid w:val="003F0FF8"/>
    <w:rsid w:val="003F3237"/>
    <w:rsid w:val="003F3DA3"/>
    <w:rsid w:val="003F3EAF"/>
    <w:rsid w:val="003F53B7"/>
    <w:rsid w:val="003F55C1"/>
    <w:rsid w:val="003F55F5"/>
    <w:rsid w:val="003F62F1"/>
    <w:rsid w:val="003F755F"/>
    <w:rsid w:val="003F7844"/>
    <w:rsid w:val="003F7FAA"/>
    <w:rsid w:val="00400176"/>
    <w:rsid w:val="00400B0F"/>
    <w:rsid w:val="004013EE"/>
    <w:rsid w:val="00401CA5"/>
    <w:rsid w:val="00403D52"/>
    <w:rsid w:val="00404030"/>
    <w:rsid w:val="00404589"/>
    <w:rsid w:val="004048AC"/>
    <w:rsid w:val="004070B6"/>
    <w:rsid w:val="00407180"/>
    <w:rsid w:val="00407531"/>
    <w:rsid w:val="004101E6"/>
    <w:rsid w:val="004103BE"/>
    <w:rsid w:val="00411CB5"/>
    <w:rsid w:val="00412237"/>
    <w:rsid w:val="004128FE"/>
    <w:rsid w:val="00413A29"/>
    <w:rsid w:val="00414793"/>
    <w:rsid w:val="00415334"/>
    <w:rsid w:val="00415C9E"/>
    <w:rsid w:val="00415E8D"/>
    <w:rsid w:val="00417259"/>
    <w:rsid w:val="00420593"/>
    <w:rsid w:val="00420721"/>
    <w:rsid w:val="00420914"/>
    <w:rsid w:val="00420E55"/>
    <w:rsid w:val="00420EF7"/>
    <w:rsid w:val="00421447"/>
    <w:rsid w:val="00421D6E"/>
    <w:rsid w:val="00422EC8"/>
    <w:rsid w:val="004236B4"/>
    <w:rsid w:val="00424A3F"/>
    <w:rsid w:val="00425BA9"/>
    <w:rsid w:val="0042632B"/>
    <w:rsid w:val="00427C3B"/>
    <w:rsid w:val="00430450"/>
    <w:rsid w:val="004304A6"/>
    <w:rsid w:val="00430783"/>
    <w:rsid w:val="00430F31"/>
    <w:rsid w:val="00432761"/>
    <w:rsid w:val="00432DAD"/>
    <w:rsid w:val="00433188"/>
    <w:rsid w:val="00434254"/>
    <w:rsid w:val="00435AEC"/>
    <w:rsid w:val="004365F7"/>
    <w:rsid w:val="004367B5"/>
    <w:rsid w:val="00437FA6"/>
    <w:rsid w:val="00440088"/>
    <w:rsid w:val="00440378"/>
    <w:rsid w:val="004404FB"/>
    <w:rsid w:val="00441272"/>
    <w:rsid w:val="00442825"/>
    <w:rsid w:val="0044296A"/>
    <w:rsid w:val="00444973"/>
    <w:rsid w:val="004449B4"/>
    <w:rsid w:val="004452E2"/>
    <w:rsid w:val="00446140"/>
    <w:rsid w:val="0044658A"/>
    <w:rsid w:val="004476CB"/>
    <w:rsid w:val="00450B52"/>
    <w:rsid w:val="00450C51"/>
    <w:rsid w:val="00450E1C"/>
    <w:rsid w:val="004518CB"/>
    <w:rsid w:val="00452009"/>
    <w:rsid w:val="00453012"/>
    <w:rsid w:val="0045311F"/>
    <w:rsid w:val="004540F3"/>
    <w:rsid w:val="004544F4"/>
    <w:rsid w:val="0045670E"/>
    <w:rsid w:val="00456998"/>
    <w:rsid w:val="00457B1E"/>
    <w:rsid w:val="004603D3"/>
    <w:rsid w:val="00461ABB"/>
    <w:rsid w:val="00461B37"/>
    <w:rsid w:val="004621EF"/>
    <w:rsid w:val="00464B93"/>
    <w:rsid w:val="00464FAE"/>
    <w:rsid w:val="00467AC1"/>
    <w:rsid w:val="00471298"/>
    <w:rsid w:val="00471BEB"/>
    <w:rsid w:val="004734EC"/>
    <w:rsid w:val="00473653"/>
    <w:rsid w:val="00475C21"/>
    <w:rsid w:val="00475D4E"/>
    <w:rsid w:val="0047636F"/>
    <w:rsid w:val="004765DF"/>
    <w:rsid w:val="00477FD6"/>
    <w:rsid w:val="00480BE1"/>
    <w:rsid w:val="00480CAE"/>
    <w:rsid w:val="004834AE"/>
    <w:rsid w:val="00483CB8"/>
    <w:rsid w:val="00483D50"/>
    <w:rsid w:val="004852D0"/>
    <w:rsid w:val="00485440"/>
    <w:rsid w:val="00486C6C"/>
    <w:rsid w:val="004874F7"/>
    <w:rsid w:val="004900D6"/>
    <w:rsid w:val="0049152E"/>
    <w:rsid w:val="00491666"/>
    <w:rsid w:val="004921EF"/>
    <w:rsid w:val="004922AB"/>
    <w:rsid w:val="00493FA0"/>
    <w:rsid w:val="004944A1"/>
    <w:rsid w:val="00494935"/>
    <w:rsid w:val="00495353"/>
    <w:rsid w:val="00495751"/>
    <w:rsid w:val="00497346"/>
    <w:rsid w:val="00497A23"/>
    <w:rsid w:val="004A0BB5"/>
    <w:rsid w:val="004A288D"/>
    <w:rsid w:val="004A49AA"/>
    <w:rsid w:val="004A5362"/>
    <w:rsid w:val="004A54DE"/>
    <w:rsid w:val="004A5BAF"/>
    <w:rsid w:val="004A683B"/>
    <w:rsid w:val="004A6EDA"/>
    <w:rsid w:val="004A708A"/>
    <w:rsid w:val="004B028D"/>
    <w:rsid w:val="004B0472"/>
    <w:rsid w:val="004B0B0D"/>
    <w:rsid w:val="004B1F4C"/>
    <w:rsid w:val="004B25F6"/>
    <w:rsid w:val="004B2B20"/>
    <w:rsid w:val="004B345B"/>
    <w:rsid w:val="004B35E2"/>
    <w:rsid w:val="004B36EB"/>
    <w:rsid w:val="004B443F"/>
    <w:rsid w:val="004B57D7"/>
    <w:rsid w:val="004B66EB"/>
    <w:rsid w:val="004C016E"/>
    <w:rsid w:val="004C01A4"/>
    <w:rsid w:val="004C0828"/>
    <w:rsid w:val="004C0BC9"/>
    <w:rsid w:val="004C0D57"/>
    <w:rsid w:val="004C0E36"/>
    <w:rsid w:val="004C1391"/>
    <w:rsid w:val="004C157E"/>
    <w:rsid w:val="004C20CE"/>
    <w:rsid w:val="004C264B"/>
    <w:rsid w:val="004C2FF6"/>
    <w:rsid w:val="004C3DB7"/>
    <w:rsid w:val="004C41B0"/>
    <w:rsid w:val="004C4403"/>
    <w:rsid w:val="004C4B37"/>
    <w:rsid w:val="004C4B52"/>
    <w:rsid w:val="004C4B78"/>
    <w:rsid w:val="004C4B90"/>
    <w:rsid w:val="004C5704"/>
    <w:rsid w:val="004C6B7D"/>
    <w:rsid w:val="004C7D75"/>
    <w:rsid w:val="004D21D5"/>
    <w:rsid w:val="004D3AC9"/>
    <w:rsid w:val="004D48A4"/>
    <w:rsid w:val="004D4BF4"/>
    <w:rsid w:val="004D53B4"/>
    <w:rsid w:val="004D5DA0"/>
    <w:rsid w:val="004D5EC7"/>
    <w:rsid w:val="004D6017"/>
    <w:rsid w:val="004D6CCC"/>
    <w:rsid w:val="004D6F8B"/>
    <w:rsid w:val="004E0A69"/>
    <w:rsid w:val="004E0D95"/>
    <w:rsid w:val="004E0E86"/>
    <w:rsid w:val="004E1A0E"/>
    <w:rsid w:val="004E2245"/>
    <w:rsid w:val="004E308A"/>
    <w:rsid w:val="004E3464"/>
    <w:rsid w:val="004E3F75"/>
    <w:rsid w:val="004E453E"/>
    <w:rsid w:val="004E455E"/>
    <w:rsid w:val="004E5726"/>
    <w:rsid w:val="004E5DF6"/>
    <w:rsid w:val="004E619A"/>
    <w:rsid w:val="004E6959"/>
    <w:rsid w:val="004E716D"/>
    <w:rsid w:val="004F0394"/>
    <w:rsid w:val="004F212C"/>
    <w:rsid w:val="004F24D0"/>
    <w:rsid w:val="004F4A80"/>
    <w:rsid w:val="004F5A05"/>
    <w:rsid w:val="004F5D7A"/>
    <w:rsid w:val="004F629F"/>
    <w:rsid w:val="004F6C4F"/>
    <w:rsid w:val="004F6DFA"/>
    <w:rsid w:val="004F7FF9"/>
    <w:rsid w:val="00500372"/>
    <w:rsid w:val="00500D3C"/>
    <w:rsid w:val="005022A2"/>
    <w:rsid w:val="00503679"/>
    <w:rsid w:val="00503723"/>
    <w:rsid w:val="00503EEA"/>
    <w:rsid w:val="00504167"/>
    <w:rsid w:val="0050460F"/>
    <w:rsid w:val="00504A26"/>
    <w:rsid w:val="00504B34"/>
    <w:rsid w:val="00504FD1"/>
    <w:rsid w:val="00505441"/>
    <w:rsid w:val="005058E9"/>
    <w:rsid w:val="00505A1D"/>
    <w:rsid w:val="00505EC6"/>
    <w:rsid w:val="00506200"/>
    <w:rsid w:val="005079B2"/>
    <w:rsid w:val="00507B6A"/>
    <w:rsid w:val="00510B44"/>
    <w:rsid w:val="0051184B"/>
    <w:rsid w:val="00511D13"/>
    <w:rsid w:val="00511FE0"/>
    <w:rsid w:val="00512025"/>
    <w:rsid w:val="0051275D"/>
    <w:rsid w:val="00512994"/>
    <w:rsid w:val="005135DA"/>
    <w:rsid w:val="00514FD6"/>
    <w:rsid w:val="005156B5"/>
    <w:rsid w:val="00515B79"/>
    <w:rsid w:val="0051664E"/>
    <w:rsid w:val="00517ABF"/>
    <w:rsid w:val="005203BC"/>
    <w:rsid w:val="00520913"/>
    <w:rsid w:val="00521778"/>
    <w:rsid w:val="00521D1A"/>
    <w:rsid w:val="00521E71"/>
    <w:rsid w:val="005220E9"/>
    <w:rsid w:val="00523145"/>
    <w:rsid w:val="00523526"/>
    <w:rsid w:val="00524056"/>
    <w:rsid w:val="0052468C"/>
    <w:rsid w:val="0052505B"/>
    <w:rsid w:val="00525EB9"/>
    <w:rsid w:val="0052686C"/>
    <w:rsid w:val="005268AC"/>
    <w:rsid w:val="00531052"/>
    <w:rsid w:val="0053128B"/>
    <w:rsid w:val="00531E42"/>
    <w:rsid w:val="005320BE"/>
    <w:rsid w:val="00532827"/>
    <w:rsid w:val="00532A4D"/>
    <w:rsid w:val="00532C92"/>
    <w:rsid w:val="005333B4"/>
    <w:rsid w:val="00533BEE"/>
    <w:rsid w:val="00533DBB"/>
    <w:rsid w:val="00534BAA"/>
    <w:rsid w:val="00535C31"/>
    <w:rsid w:val="00536BE9"/>
    <w:rsid w:val="0053717F"/>
    <w:rsid w:val="005378D2"/>
    <w:rsid w:val="0054005A"/>
    <w:rsid w:val="005410C0"/>
    <w:rsid w:val="00541F34"/>
    <w:rsid w:val="005421F7"/>
    <w:rsid w:val="005429D7"/>
    <w:rsid w:val="00542A27"/>
    <w:rsid w:val="0054307E"/>
    <w:rsid w:val="00544F81"/>
    <w:rsid w:val="00544FA3"/>
    <w:rsid w:val="00545BD0"/>
    <w:rsid w:val="00545E59"/>
    <w:rsid w:val="005500CF"/>
    <w:rsid w:val="00551732"/>
    <w:rsid w:val="00552526"/>
    <w:rsid w:val="005526C9"/>
    <w:rsid w:val="0055372D"/>
    <w:rsid w:val="00554150"/>
    <w:rsid w:val="00554BDD"/>
    <w:rsid w:val="00554E91"/>
    <w:rsid w:val="00555196"/>
    <w:rsid w:val="0055568A"/>
    <w:rsid w:val="005607C5"/>
    <w:rsid w:val="00560908"/>
    <w:rsid w:val="00560BB0"/>
    <w:rsid w:val="00560DB3"/>
    <w:rsid w:val="005618F4"/>
    <w:rsid w:val="0056195B"/>
    <w:rsid w:val="00562278"/>
    <w:rsid w:val="00562B65"/>
    <w:rsid w:val="00562CF1"/>
    <w:rsid w:val="0056306A"/>
    <w:rsid w:val="00563486"/>
    <w:rsid w:val="005637FE"/>
    <w:rsid w:val="00564082"/>
    <w:rsid w:val="005654B1"/>
    <w:rsid w:val="0056562C"/>
    <w:rsid w:val="005668CF"/>
    <w:rsid w:val="00566D40"/>
    <w:rsid w:val="00566EBF"/>
    <w:rsid w:val="005677CF"/>
    <w:rsid w:val="005677DE"/>
    <w:rsid w:val="00570198"/>
    <w:rsid w:val="005712BA"/>
    <w:rsid w:val="00571B90"/>
    <w:rsid w:val="005732EE"/>
    <w:rsid w:val="005733A4"/>
    <w:rsid w:val="0057533A"/>
    <w:rsid w:val="005774C6"/>
    <w:rsid w:val="0057798E"/>
    <w:rsid w:val="005802F4"/>
    <w:rsid w:val="00581108"/>
    <w:rsid w:val="005823C7"/>
    <w:rsid w:val="00582CC4"/>
    <w:rsid w:val="00583482"/>
    <w:rsid w:val="00583848"/>
    <w:rsid w:val="00583C74"/>
    <w:rsid w:val="00583DE4"/>
    <w:rsid w:val="005852F6"/>
    <w:rsid w:val="0058553C"/>
    <w:rsid w:val="0058615D"/>
    <w:rsid w:val="00590A75"/>
    <w:rsid w:val="00590B62"/>
    <w:rsid w:val="00592264"/>
    <w:rsid w:val="005927D8"/>
    <w:rsid w:val="00593624"/>
    <w:rsid w:val="00593FB2"/>
    <w:rsid w:val="00594266"/>
    <w:rsid w:val="005954A1"/>
    <w:rsid w:val="005967F5"/>
    <w:rsid w:val="005A089D"/>
    <w:rsid w:val="005A0FBC"/>
    <w:rsid w:val="005A1531"/>
    <w:rsid w:val="005A1803"/>
    <w:rsid w:val="005A1C1E"/>
    <w:rsid w:val="005A2C76"/>
    <w:rsid w:val="005A2CAF"/>
    <w:rsid w:val="005A39ED"/>
    <w:rsid w:val="005A3C1E"/>
    <w:rsid w:val="005A3DA9"/>
    <w:rsid w:val="005A4A40"/>
    <w:rsid w:val="005A5B7D"/>
    <w:rsid w:val="005A6FDE"/>
    <w:rsid w:val="005B042A"/>
    <w:rsid w:val="005B1CC2"/>
    <w:rsid w:val="005B2556"/>
    <w:rsid w:val="005B37B3"/>
    <w:rsid w:val="005B37F7"/>
    <w:rsid w:val="005B4E9F"/>
    <w:rsid w:val="005B5B54"/>
    <w:rsid w:val="005B5CB8"/>
    <w:rsid w:val="005B6BCC"/>
    <w:rsid w:val="005B777D"/>
    <w:rsid w:val="005C0269"/>
    <w:rsid w:val="005C04A0"/>
    <w:rsid w:val="005C09F9"/>
    <w:rsid w:val="005C19F7"/>
    <w:rsid w:val="005C1F0A"/>
    <w:rsid w:val="005C297E"/>
    <w:rsid w:val="005C4427"/>
    <w:rsid w:val="005C4BBD"/>
    <w:rsid w:val="005C4D72"/>
    <w:rsid w:val="005C4E2A"/>
    <w:rsid w:val="005C4EE9"/>
    <w:rsid w:val="005C6889"/>
    <w:rsid w:val="005C6C21"/>
    <w:rsid w:val="005C7430"/>
    <w:rsid w:val="005C74D7"/>
    <w:rsid w:val="005C7B8D"/>
    <w:rsid w:val="005D19CD"/>
    <w:rsid w:val="005D289B"/>
    <w:rsid w:val="005D2BDC"/>
    <w:rsid w:val="005D4C5E"/>
    <w:rsid w:val="005D4CE2"/>
    <w:rsid w:val="005D6771"/>
    <w:rsid w:val="005D6E7B"/>
    <w:rsid w:val="005E0526"/>
    <w:rsid w:val="005E110E"/>
    <w:rsid w:val="005E114E"/>
    <w:rsid w:val="005E1AEE"/>
    <w:rsid w:val="005E218A"/>
    <w:rsid w:val="005E3159"/>
    <w:rsid w:val="005E377B"/>
    <w:rsid w:val="005E3D20"/>
    <w:rsid w:val="005E468B"/>
    <w:rsid w:val="005E4C43"/>
    <w:rsid w:val="005E5F51"/>
    <w:rsid w:val="005F0B21"/>
    <w:rsid w:val="005F0BDF"/>
    <w:rsid w:val="005F296F"/>
    <w:rsid w:val="005F3246"/>
    <w:rsid w:val="005F32DE"/>
    <w:rsid w:val="005F4236"/>
    <w:rsid w:val="005F4F59"/>
    <w:rsid w:val="005F781C"/>
    <w:rsid w:val="0060060A"/>
    <w:rsid w:val="0060165E"/>
    <w:rsid w:val="0060192D"/>
    <w:rsid w:val="00601BD3"/>
    <w:rsid w:val="00602612"/>
    <w:rsid w:val="006026BE"/>
    <w:rsid w:val="00602A23"/>
    <w:rsid w:val="00602E3C"/>
    <w:rsid w:val="006032D6"/>
    <w:rsid w:val="006033DD"/>
    <w:rsid w:val="006039AE"/>
    <w:rsid w:val="00603B32"/>
    <w:rsid w:val="00604615"/>
    <w:rsid w:val="0060471F"/>
    <w:rsid w:val="00604ECC"/>
    <w:rsid w:val="0060505F"/>
    <w:rsid w:val="00607313"/>
    <w:rsid w:val="00607D84"/>
    <w:rsid w:val="00610CBF"/>
    <w:rsid w:val="00612366"/>
    <w:rsid w:val="00613455"/>
    <w:rsid w:val="0061348D"/>
    <w:rsid w:val="00613C2E"/>
    <w:rsid w:val="00615415"/>
    <w:rsid w:val="00615E26"/>
    <w:rsid w:val="00616159"/>
    <w:rsid w:val="00620054"/>
    <w:rsid w:val="006207E5"/>
    <w:rsid w:val="00620AEC"/>
    <w:rsid w:val="00622B0C"/>
    <w:rsid w:val="0062333A"/>
    <w:rsid w:val="00624EDC"/>
    <w:rsid w:val="006254FA"/>
    <w:rsid w:val="006268D7"/>
    <w:rsid w:val="00626BAA"/>
    <w:rsid w:val="0062760C"/>
    <w:rsid w:val="00627F86"/>
    <w:rsid w:val="006302FB"/>
    <w:rsid w:val="00630AA6"/>
    <w:rsid w:val="00631A04"/>
    <w:rsid w:val="00631E70"/>
    <w:rsid w:val="00633FCD"/>
    <w:rsid w:val="00634030"/>
    <w:rsid w:val="00635CD5"/>
    <w:rsid w:val="00636495"/>
    <w:rsid w:val="006372FB"/>
    <w:rsid w:val="00640923"/>
    <w:rsid w:val="0064192F"/>
    <w:rsid w:val="006419FA"/>
    <w:rsid w:val="00641D0C"/>
    <w:rsid w:val="00643384"/>
    <w:rsid w:val="0064367C"/>
    <w:rsid w:val="0064373C"/>
    <w:rsid w:val="00643A98"/>
    <w:rsid w:val="006442D6"/>
    <w:rsid w:val="00644A7E"/>
    <w:rsid w:val="0064797E"/>
    <w:rsid w:val="00647E52"/>
    <w:rsid w:val="00650783"/>
    <w:rsid w:val="006509AC"/>
    <w:rsid w:val="00650E9B"/>
    <w:rsid w:val="00651993"/>
    <w:rsid w:val="00651C64"/>
    <w:rsid w:val="00652873"/>
    <w:rsid w:val="0065292E"/>
    <w:rsid w:val="00653074"/>
    <w:rsid w:val="006536F5"/>
    <w:rsid w:val="0065473F"/>
    <w:rsid w:val="006566A6"/>
    <w:rsid w:val="00657A2E"/>
    <w:rsid w:val="00657D88"/>
    <w:rsid w:val="006601EF"/>
    <w:rsid w:val="0066056A"/>
    <w:rsid w:val="00661745"/>
    <w:rsid w:val="006624DB"/>
    <w:rsid w:val="0066254B"/>
    <w:rsid w:val="006641A5"/>
    <w:rsid w:val="006643FE"/>
    <w:rsid w:val="00665F7F"/>
    <w:rsid w:val="0066791F"/>
    <w:rsid w:val="00667989"/>
    <w:rsid w:val="00667E04"/>
    <w:rsid w:val="0067007E"/>
    <w:rsid w:val="00671256"/>
    <w:rsid w:val="006717AD"/>
    <w:rsid w:val="00671EBB"/>
    <w:rsid w:val="00672671"/>
    <w:rsid w:val="00672D16"/>
    <w:rsid w:val="006739E2"/>
    <w:rsid w:val="00674E19"/>
    <w:rsid w:val="00675283"/>
    <w:rsid w:val="006752A6"/>
    <w:rsid w:val="00677AAB"/>
    <w:rsid w:val="00677BF3"/>
    <w:rsid w:val="00677FE9"/>
    <w:rsid w:val="006800CA"/>
    <w:rsid w:val="006829B4"/>
    <w:rsid w:val="0068312D"/>
    <w:rsid w:val="00684321"/>
    <w:rsid w:val="0068438E"/>
    <w:rsid w:val="00684F98"/>
    <w:rsid w:val="00685364"/>
    <w:rsid w:val="00685379"/>
    <w:rsid w:val="0068582F"/>
    <w:rsid w:val="00686B84"/>
    <w:rsid w:val="0069028A"/>
    <w:rsid w:val="00690C14"/>
    <w:rsid w:val="006910A4"/>
    <w:rsid w:val="00691A4C"/>
    <w:rsid w:val="00692024"/>
    <w:rsid w:val="00692274"/>
    <w:rsid w:val="006932ED"/>
    <w:rsid w:val="00693421"/>
    <w:rsid w:val="006943D2"/>
    <w:rsid w:val="00694A7F"/>
    <w:rsid w:val="00694E30"/>
    <w:rsid w:val="00695380"/>
    <w:rsid w:val="00695404"/>
    <w:rsid w:val="00695614"/>
    <w:rsid w:val="00695864"/>
    <w:rsid w:val="00695D2D"/>
    <w:rsid w:val="006960F8"/>
    <w:rsid w:val="006973F6"/>
    <w:rsid w:val="0069763B"/>
    <w:rsid w:val="00697897"/>
    <w:rsid w:val="00697FA6"/>
    <w:rsid w:val="006A1136"/>
    <w:rsid w:val="006A1450"/>
    <w:rsid w:val="006A1EDA"/>
    <w:rsid w:val="006A2D19"/>
    <w:rsid w:val="006A2D31"/>
    <w:rsid w:val="006A2D4D"/>
    <w:rsid w:val="006A4AD0"/>
    <w:rsid w:val="006A5A60"/>
    <w:rsid w:val="006A7062"/>
    <w:rsid w:val="006A73F1"/>
    <w:rsid w:val="006A7DF0"/>
    <w:rsid w:val="006B05EB"/>
    <w:rsid w:val="006B36C2"/>
    <w:rsid w:val="006B476F"/>
    <w:rsid w:val="006B4A8B"/>
    <w:rsid w:val="006B6C29"/>
    <w:rsid w:val="006B7378"/>
    <w:rsid w:val="006C04ED"/>
    <w:rsid w:val="006C0BC7"/>
    <w:rsid w:val="006C119E"/>
    <w:rsid w:val="006C1278"/>
    <w:rsid w:val="006C1E0F"/>
    <w:rsid w:val="006C201E"/>
    <w:rsid w:val="006C32A6"/>
    <w:rsid w:val="006C35BC"/>
    <w:rsid w:val="006C3E5F"/>
    <w:rsid w:val="006C43E3"/>
    <w:rsid w:val="006C4AC8"/>
    <w:rsid w:val="006C4E47"/>
    <w:rsid w:val="006C5065"/>
    <w:rsid w:val="006C50B8"/>
    <w:rsid w:val="006C58B3"/>
    <w:rsid w:val="006C5CB8"/>
    <w:rsid w:val="006C5F99"/>
    <w:rsid w:val="006C613F"/>
    <w:rsid w:val="006C6B10"/>
    <w:rsid w:val="006C70B7"/>
    <w:rsid w:val="006D33F3"/>
    <w:rsid w:val="006D3542"/>
    <w:rsid w:val="006D3A46"/>
    <w:rsid w:val="006D4FD7"/>
    <w:rsid w:val="006D63C8"/>
    <w:rsid w:val="006D6667"/>
    <w:rsid w:val="006D6B35"/>
    <w:rsid w:val="006D7575"/>
    <w:rsid w:val="006D796F"/>
    <w:rsid w:val="006E06A5"/>
    <w:rsid w:val="006E1A25"/>
    <w:rsid w:val="006E1BBB"/>
    <w:rsid w:val="006E202D"/>
    <w:rsid w:val="006E2269"/>
    <w:rsid w:val="006E294D"/>
    <w:rsid w:val="006E367F"/>
    <w:rsid w:val="006E4717"/>
    <w:rsid w:val="006E6285"/>
    <w:rsid w:val="006E752D"/>
    <w:rsid w:val="006F056C"/>
    <w:rsid w:val="006F2610"/>
    <w:rsid w:val="006F37B4"/>
    <w:rsid w:val="006F386F"/>
    <w:rsid w:val="006F38CA"/>
    <w:rsid w:val="006F43D9"/>
    <w:rsid w:val="006F4DD8"/>
    <w:rsid w:val="006F5D4D"/>
    <w:rsid w:val="006F60D5"/>
    <w:rsid w:val="006F6209"/>
    <w:rsid w:val="006F756F"/>
    <w:rsid w:val="00701AB0"/>
    <w:rsid w:val="007026D3"/>
    <w:rsid w:val="00702938"/>
    <w:rsid w:val="00702A30"/>
    <w:rsid w:val="00704DAE"/>
    <w:rsid w:val="00705321"/>
    <w:rsid w:val="0070610D"/>
    <w:rsid w:val="007063AA"/>
    <w:rsid w:val="0070653B"/>
    <w:rsid w:val="00706CD5"/>
    <w:rsid w:val="00707FEE"/>
    <w:rsid w:val="007100D2"/>
    <w:rsid w:val="007112A5"/>
    <w:rsid w:val="00711B31"/>
    <w:rsid w:val="00711C9E"/>
    <w:rsid w:val="00714F61"/>
    <w:rsid w:val="007162A2"/>
    <w:rsid w:val="00717480"/>
    <w:rsid w:val="007174EC"/>
    <w:rsid w:val="007175DC"/>
    <w:rsid w:val="00717951"/>
    <w:rsid w:val="00717C16"/>
    <w:rsid w:val="00717D0B"/>
    <w:rsid w:val="00720E64"/>
    <w:rsid w:val="00721399"/>
    <w:rsid w:val="00722B57"/>
    <w:rsid w:val="00722E1B"/>
    <w:rsid w:val="0072360F"/>
    <w:rsid w:val="00725575"/>
    <w:rsid w:val="0072636F"/>
    <w:rsid w:val="00727580"/>
    <w:rsid w:val="00727851"/>
    <w:rsid w:val="00731580"/>
    <w:rsid w:val="0073238F"/>
    <w:rsid w:val="007332A5"/>
    <w:rsid w:val="007336CA"/>
    <w:rsid w:val="00736172"/>
    <w:rsid w:val="007366FF"/>
    <w:rsid w:val="00736E93"/>
    <w:rsid w:val="00741185"/>
    <w:rsid w:val="007418A6"/>
    <w:rsid w:val="00741E98"/>
    <w:rsid w:val="00743389"/>
    <w:rsid w:val="007437C1"/>
    <w:rsid w:val="00744255"/>
    <w:rsid w:val="0074633B"/>
    <w:rsid w:val="0074693E"/>
    <w:rsid w:val="00746E6C"/>
    <w:rsid w:val="007473F2"/>
    <w:rsid w:val="0074751B"/>
    <w:rsid w:val="00747E1C"/>
    <w:rsid w:val="00750606"/>
    <w:rsid w:val="00752241"/>
    <w:rsid w:val="007525DF"/>
    <w:rsid w:val="00752EF5"/>
    <w:rsid w:val="00752F88"/>
    <w:rsid w:val="0075427C"/>
    <w:rsid w:val="00754CC3"/>
    <w:rsid w:val="007559C0"/>
    <w:rsid w:val="00756C7C"/>
    <w:rsid w:val="0075712D"/>
    <w:rsid w:val="00757C12"/>
    <w:rsid w:val="00757C6B"/>
    <w:rsid w:val="00760D79"/>
    <w:rsid w:val="007610A8"/>
    <w:rsid w:val="0076170A"/>
    <w:rsid w:val="00761A4A"/>
    <w:rsid w:val="0076278F"/>
    <w:rsid w:val="007627C6"/>
    <w:rsid w:val="007629DB"/>
    <w:rsid w:val="00762CF7"/>
    <w:rsid w:val="007631BB"/>
    <w:rsid w:val="007636EB"/>
    <w:rsid w:val="007636ED"/>
    <w:rsid w:val="00764C7D"/>
    <w:rsid w:val="00765B23"/>
    <w:rsid w:val="00765EE8"/>
    <w:rsid w:val="00767D09"/>
    <w:rsid w:val="00767ECF"/>
    <w:rsid w:val="00770510"/>
    <w:rsid w:val="0077099A"/>
    <w:rsid w:val="00771492"/>
    <w:rsid w:val="00771EB3"/>
    <w:rsid w:val="00771EB4"/>
    <w:rsid w:val="0077275A"/>
    <w:rsid w:val="00772A71"/>
    <w:rsid w:val="00773006"/>
    <w:rsid w:val="00773AA3"/>
    <w:rsid w:val="00773BE1"/>
    <w:rsid w:val="00774F17"/>
    <w:rsid w:val="007755E7"/>
    <w:rsid w:val="007758A8"/>
    <w:rsid w:val="0077644B"/>
    <w:rsid w:val="0077684C"/>
    <w:rsid w:val="00777C02"/>
    <w:rsid w:val="00781B78"/>
    <w:rsid w:val="00782A15"/>
    <w:rsid w:val="00782DB1"/>
    <w:rsid w:val="00784222"/>
    <w:rsid w:val="00784422"/>
    <w:rsid w:val="007863F3"/>
    <w:rsid w:val="007865A7"/>
    <w:rsid w:val="0078673E"/>
    <w:rsid w:val="00790AEC"/>
    <w:rsid w:val="00792F52"/>
    <w:rsid w:val="007938FE"/>
    <w:rsid w:val="007948E2"/>
    <w:rsid w:val="00794CFC"/>
    <w:rsid w:val="00794E2E"/>
    <w:rsid w:val="00794EE0"/>
    <w:rsid w:val="00795106"/>
    <w:rsid w:val="00795792"/>
    <w:rsid w:val="007960CB"/>
    <w:rsid w:val="00796C4F"/>
    <w:rsid w:val="00797372"/>
    <w:rsid w:val="00797A49"/>
    <w:rsid w:val="007A03B7"/>
    <w:rsid w:val="007A0773"/>
    <w:rsid w:val="007A07C5"/>
    <w:rsid w:val="007A1720"/>
    <w:rsid w:val="007A1745"/>
    <w:rsid w:val="007A1D3E"/>
    <w:rsid w:val="007A1DBC"/>
    <w:rsid w:val="007A209C"/>
    <w:rsid w:val="007A219F"/>
    <w:rsid w:val="007A2468"/>
    <w:rsid w:val="007A320B"/>
    <w:rsid w:val="007A435F"/>
    <w:rsid w:val="007A4407"/>
    <w:rsid w:val="007A4BDE"/>
    <w:rsid w:val="007A59F7"/>
    <w:rsid w:val="007A6159"/>
    <w:rsid w:val="007B03D1"/>
    <w:rsid w:val="007B0AA2"/>
    <w:rsid w:val="007B1120"/>
    <w:rsid w:val="007B1B9C"/>
    <w:rsid w:val="007B2C78"/>
    <w:rsid w:val="007B5B63"/>
    <w:rsid w:val="007B74B2"/>
    <w:rsid w:val="007B7B48"/>
    <w:rsid w:val="007B7CCC"/>
    <w:rsid w:val="007C180F"/>
    <w:rsid w:val="007C2461"/>
    <w:rsid w:val="007C3B6D"/>
    <w:rsid w:val="007C4381"/>
    <w:rsid w:val="007C506B"/>
    <w:rsid w:val="007C5107"/>
    <w:rsid w:val="007C52FD"/>
    <w:rsid w:val="007C7253"/>
    <w:rsid w:val="007D0135"/>
    <w:rsid w:val="007D04ED"/>
    <w:rsid w:val="007D11F7"/>
    <w:rsid w:val="007D13E0"/>
    <w:rsid w:val="007D18F6"/>
    <w:rsid w:val="007D1B64"/>
    <w:rsid w:val="007D29ED"/>
    <w:rsid w:val="007D3456"/>
    <w:rsid w:val="007D49A2"/>
    <w:rsid w:val="007D5112"/>
    <w:rsid w:val="007D515B"/>
    <w:rsid w:val="007D6D16"/>
    <w:rsid w:val="007D7ACE"/>
    <w:rsid w:val="007E08A8"/>
    <w:rsid w:val="007E2BD9"/>
    <w:rsid w:val="007E4967"/>
    <w:rsid w:val="007E6D9C"/>
    <w:rsid w:val="007E706C"/>
    <w:rsid w:val="007E7656"/>
    <w:rsid w:val="007E76A3"/>
    <w:rsid w:val="007E79E8"/>
    <w:rsid w:val="007F0716"/>
    <w:rsid w:val="007F0AFE"/>
    <w:rsid w:val="007F1169"/>
    <w:rsid w:val="007F1D59"/>
    <w:rsid w:val="007F3303"/>
    <w:rsid w:val="007F339D"/>
    <w:rsid w:val="007F3B2A"/>
    <w:rsid w:val="007F5340"/>
    <w:rsid w:val="007F5B5A"/>
    <w:rsid w:val="007F6BDE"/>
    <w:rsid w:val="007F6E67"/>
    <w:rsid w:val="007F6FF9"/>
    <w:rsid w:val="0080021C"/>
    <w:rsid w:val="008007DF"/>
    <w:rsid w:val="008011AA"/>
    <w:rsid w:val="0080200D"/>
    <w:rsid w:val="00802F46"/>
    <w:rsid w:val="008039E4"/>
    <w:rsid w:val="00803AE7"/>
    <w:rsid w:val="00804943"/>
    <w:rsid w:val="00805C99"/>
    <w:rsid w:val="00806128"/>
    <w:rsid w:val="0080694F"/>
    <w:rsid w:val="00807A0D"/>
    <w:rsid w:val="00807A65"/>
    <w:rsid w:val="008106B0"/>
    <w:rsid w:val="00810A52"/>
    <w:rsid w:val="00811C04"/>
    <w:rsid w:val="00811D31"/>
    <w:rsid w:val="00811EA7"/>
    <w:rsid w:val="008122A2"/>
    <w:rsid w:val="00813618"/>
    <w:rsid w:val="008142AE"/>
    <w:rsid w:val="00814921"/>
    <w:rsid w:val="00814A43"/>
    <w:rsid w:val="00816DBC"/>
    <w:rsid w:val="0081710B"/>
    <w:rsid w:val="008172D7"/>
    <w:rsid w:val="00817B79"/>
    <w:rsid w:val="00820753"/>
    <w:rsid w:val="008209DD"/>
    <w:rsid w:val="008215E5"/>
    <w:rsid w:val="008217BF"/>
    <w:rsid w:val="00823405"/>
    <w:rsid w:val="00823708"/>
    <w:rsid w:val="00823CF4"/>
    <w:rsid w:val="00825F5C"/>
    <w:rsid w:val="00826465"/>
    <w:rsid w:val="00827417"/>
    <w:rsid w:val="0082786E"/>
    <w:rsid w:val="00831255"/>
    <w:rsid w:val="00832D79"/>
    <w:rsid w:val="00833528"/>
    <w:rsid w:val="00834C9E"/>
    <w:rsid w:val="00834DCE"/>
    <w:rsid w:val="0083646A"/>
    <w:rsid w:val="008401DE"/>
    <w:rsid w:val="00841239"/>
    <w:rsid w:val="00841369"/>
    <w:rsid w:val="00842CA2"/>
    <w:rsid w:val="00842D67"/>
    <w:rsid w:val="00842FA6"/>
    <w:rsid w:val="008431F7"/>
    <w:rsid w:val="0084421E"/>
    <w:rsid w:val="00844C7E"/>
    <w:rsid w:val="0084626D"/>
    <w:rsid w:val="008462EB"/>
    <w:rsid w:val="00847917"/>
    <w:rsid w:val="00847E55"/>
    <w:rsid w:val="008502D7"/>
    <w:rsid w:val="008513F3"/>
    <w:rsid w:val="008517D6"/>
    <w:rsid w:val="00851BD4"/>
    <w:rsid w:val="00852564"/>
    <w:rsid w:val="0085390F"/>
    <w:rsid w:val="00853D95"/>
    <w:rsid w:val="008554A2"/>
    <w:rsid w:val="00855BC5"/>
    <w:rsid w:val="008605DD"/>
    <w:rsid w:val="00860A0A"/>
    <w:rsid w:val="00861B95"/>
    <w:rsid w:val="00861CC0"/>
    <w:rsid w:val="00861E2E"/>
    <w:rsid w:val="008625FD"/>
    <w:rsid w:val="008628BD"/>
    <w:rsid w:val="00862E87"/>
    <w:rsid w:val="0086447C"/>
    <w:rsid w:val="00865493"/>
    <w:rsid w:val="00865651"/>
    <w:rsid w:val="008658A0"/>
    <w:rsid w:val="00865E9D"/>
    <w:rsid w:val="008662A2"/>
    <w:rsid w:val="00867B25"/>
    <w:rsid w:val="00867BB7"/>
    <w:rsid w:val="00867CD0"/>
    <w:rsid w:val="00871C87"/>
    <w:rsid w:val="008727A6"/>
    <w:rsid w:val="008760FB"/>
    <w:rsid w:val="00876D4E"/>
    <w:rsid w:val="00877B4F"/>
    <w:rsid w:val="00880DC9"/>
    <w:rsid w:val="00881629"/>
    <w:rsid w:val="00881793"/>
    <w:rsid w:val="00884658"/>
    <w:rsid w:val="00884ED3"/>
    <w:rsid w:val="00886837"/>
    <w:rsid w:val="0088695D"/>
    <w:rsid w:val="00886C74"/>
    <w:rsid w:val="008907BF"/>
    <w:rsid w:val="0089248F"/>
    <w:rsid w:val="008928FF"/>
    <w:rsid w:val="00893F14"/>
    <w:rsid w:val="00894A52"/>
    <w:rsid w:val="00895CF0"/>
    <w:rsid w:val="00896098"/>
    <w:rsid w:val="00896FCB"/>
    <w:rsid w:val="0089707C"/>
    <w:rsid w:val="008970C2"/>
    <w:rsid w:val="00897CA1"/>
    <w:rsid w:val="00897E99"/>
    <w:rsid w:val="008A0ACD"/>
    <w:rsid w:val="008A107E"/>
    <w:rsid w:val="008A2821"/>
    <w:rsid w:val="008A3C70"/>
    <w:rsid w:val="008A60A9"/>
    <w:rsid w:val="008A6312"/>
    <w:rsid w:val="008A7868"/>
    <w:rsid w:val="008B12AB"/>
    <w:rsid w:val="008B223A"/>
    <w:rsid w:val="008B2422"/>
    <w:rsid w:val="008B358A"/>
    <w:rsid w:val="008B4208"/>
    <w:rsid w:val="008B5B7D"/>
    <w:rsid w:val="008B6CAD"/>
    <w:rsid w:val="008B7CF1"/>
    <w:rsid w:val="008C0410"/>
    <w:rsid w:val="008C24E4"/>
    <w:rsid w:val="008C4BAE"/>
    <w:rsid w:val="008C6243"/>
    <w:rsid w:val="008C6C77"/>
    <w:rsid w:val="008C7532"/>
    <w:rsid w:val="008D114D"/>
    <w:rsid w:val="008D1244"/>
    <w:rsid w:val="008D2752"/>
    <w:rsid w:val="008D2846"/>
    <w:rsid w:val="008D31D6"/>
    <w:rsid w:val="008D334D"/>
    <w:rsid w:val="008D4AD6"/>
    <w:rsid w:val="008D4F3C"/>
    <w:rsid w:val="008D711D"/>
    <w:rsid w:val="008D7592"/>
    <w:rsid w:val="008E032D"/>
    <w:rsid w:val="008E128F"/>
    <w:rsid w:val="008E16D5"/>
    <w:rsid w:val="008E1FD9"/>
    <w:rsid w:val="008E2183"/>
    <w:rsid w:val="008E268A"/>
    <w:rsid w:val="008E3C3C"/>
    <w:rsid w:val="008E410C"/>
    <w:rsid w:val="008E4207"/>
    <w:rsid w:val="008E4DA0"/>
    <w:rsid w:val="008E4FF1"/>
    <w:rsid w:val="008E514F"/>
    <w:rsid w:val="008E5259"/>
    <w:rsid w:val="008E59A5"/>
    <w:rsid w:val="008E684C"/>
    <w:rsid w:val="008E6BB1"/>
    <w:rsid w:val="008E6BB6"/>
    <w:rsid w:val="008E7E1A"/>
    <w:rsid w:val="008F0FBD"/>
    <w:rsid w:val="008F1592"/>
    <w:rsid w:val="008F1EDB"/>
    <w:rsid w:val="008F30C9"/>
    <w:rsid w:val="008F4792"/>
    <w:rsid w:val="008F49FC"/>
    <w:rsid w:val="008F5987"/>
    <w:rsid w:val="008F71CA"/>
    <w:rsid w:val="008F7890"/>
    <w:rsid w:val="008F7F90"/>
    <w:rsid w:val="0090113D"/>
    <w:rsid w:val="009033A6"/>
    <w:rsid w:val="009034EC"/>
    <w:rsid w:val="00903FA7"/>
    <w:rsid w:val="0090576A"/>
    <w:rsid w:val="00906DE9"/>
    <w:rsid w:val="00911FBB"/>
    <w:rsid w:val="00912883"/>
    <w:rsid w:val="009133C5"/>
    <w:rsid w:val="0091461C"/>
    <w:rsid w:val="0091481C"/>
    <w:rsid w:val="00916D4F"/>
    <w:rsid w:val="00920AAF"/>
    <w:rsid w:val="009218CE"/>
    <w:rsid w:val="00922CEA"/>
    <w:rsid w:val="009230D2"/>
    <w:rsid w:val="009236DC"/>
    <w:rsid w:val="00923FAE"/>
    <w:rsid w:val="0092481E"/>
    <w:rsid w:val="00924A20"/>
    <w:rsid w:val="00924F68"/>
    <w:rsid w:val="009262F6"/>
    <w:rsid w:val="009265D2"/>
    <w:rsid w:val="00926A75"/>
    <w:rsid w:val="00926C8A"/>
    <w:rsid w:val="00927697"/>
    <w:rsid w:val="0093220D"/>
    <w:rsid w:val="0093241C"/>
    <w:rsid w:val="009325F6"/>
    <w:rsid w:val="00932BAE"/>
    <w:rsid w:val="0093403A"/>
    <w:rsid w:val="00934C47"/>
    <w:rsid w:val="009351B4"/>
    <w:rsid w:val="009352FE"/>
    <w:rsid w:val="0093598C"/>
    <w:rsid w:val="00936456"/>
    <w:rsid w:val="009364F7"/>
    <w:rsid w:val="0093660D"/>
    <w:rsid w:val="00937343"/>
    <w:rsid w:val="00937433"/>
    <w:rsid w:val="009404A0"/>
    <w:rsid w:val="009408C8"/>
    <w:rsid w:val="00940B7E"/>
    <w:rsid w:val="00940E66"/>
    <w:rsid w:val="009411D9"/>
    <w:rsid w:val="00941360"/>
    <w:rsid w:val="0094138B"/>
    <w:rsid w:val="009426B6"/>
    <w:rsid w:val="0094283D"/>
    <w:rsid w:val="00942A9A"/>
    <w:rsid w:val="00943326"/>
    <w:rsid w:val="00943FC3"/>
    <w:rsid w:val="00944244"/>
    <w:rsid w:val="00944BC0"/>
    <w:rsid w:val="009452AE"/>
    <w:rsid w:val="009455A4"/>
    <w:rsid w:val="0094585F"/>
    <w:rsid w:val="009469C1"/>
    <w:rsid w:val="00947091"/>
    <w:rsid w:val="00947B45"/>
    <w:rsid w:val="0095194E"/>
    <w:rsid w:val="0095206F"/>
    <w:rsid w:val="009521C2"/>
    <w:rsid w:val="00952983"/>
    <w:rsid w:val="00952BBB"/>
    <w:rsid w:val="00952F40"/>
    <w:rsid w:val="0095389D"/>
    <w:rsid w:val="009539D9"/>
    <w:rsid w:val="00954716"/>
    <w:rsid w:val="00955406"/>
    <w:rsid w:val="00955576"/>
    <w:rsid w:val="00955DCA"/>
    <w:rsid w:val="00956BE0"/>
    <w:rsid w:val="00957043"/>
    <w:rsid w:val="00957963"/>
    <w:rsid w:val="00960E8A"/>
    <w:rsid w:val="00960E9B"/>
    <w:rsid w:val="009635B2"/>
    <w:rsid w:val="00963E6E"/>
    <w:rsid w:val="00963F7D"/>
    <w:rsid w:val="00964221"/>
    <w:rsid w:val="00964AF5"/>
    <w:rsid w:val="00964FBF"/>
    <w:rsid w:val="0096503D"/>
    <w:rsid w:val="00965777"/>
    <w:rsid w:val="0096577D"/>
    <w:rsid w:val="00965A65"/>
    <w:rsid w:val="00965E3C"/>
    <w:rsid w:val="00965EC8"/>
    <w:rsid w:val="0096793E"/>
    <w:rsid w:val="00967CBC"/>
    <w:rsid w:val="00970424"/>
    <w:rsid w:val="00970545"/>
    <w:rsid w:val="00970A64"/>
    <w:rsid w:val="0097177E"/>
    <w:rsid w:val="00971A2A"/>
    <w:rsid w:val="009723F1"/>
    <w:rsid w:val="00972F87"/>
    <w:rsid w:val="0097333E"/>
    <w:rsid w:val="00973501"/>
    <w:rsid w:val="009736CD"/>
    <w:rsid w:val="0097471E"/>
    <w:rsid w:val="00974FA8"/>
    <w:rsid w:val="009764F9"/>
    <w:rsid w:val="00982189"/>
    <w:rsid w:val="00982415"/>
    <w:rsid w:val="0098246A"/>
    <w:rsid w:val="00982AD4"/>
    <w:rsid w:val="00982D4D"/>
    <w:rsid w:val="00983B70"/>
    <w:rsid w:val="00983E13"/>
    <w:rsid w:val="00984BF9"/>
    <w:rsid w:val="00984E59"/>
    <w:rsid w:val="00985A1B"/>
    <w:rsid w:val="0098639C"/>
    <w:rsid w:val="00986580"/>
    <w:rsid w:val="009869A0"/>
    <w:rsid w:val="009909ED"/>
    <w:rsid w:val="009917B7"/>
    <w:rsid w:val="009918DA"/>
    <w:rsid w:val="00991958"/>
    <w:rsid w:val="00991F37"/>
    <w:rsid w:val="00992895"/>
    <w:rsid w:val="00993153"/>
    <w:rsid w:val="00993F91"/>
    <w:rsid w:val="00994E39"/>
    <w:rsid w:val="00995984"/>
    <w:rsid w:val="00995D1F"/>
    <w:rsid w:val="0099673F"/>
    <w:rsid w:val="0099761C"/>
    <w:rsid w:val="009A0203"/>
    <w:rsid w:val="009A086A"/>
    <w:rsid w:val="009A0B65"/>
    <w:rsid w:val="009A0CF8"/>
    <w:rsid w:val="009A0D1F"/>
    <w:rsid w:val="009A2271"/>
    <w:rsid w:val="009A34E3"/>
    <w:rsid w:val="009A63F9"/>
    <w:rsid w:val="009B05EC"/>
    <w:rsid w:val="009B190F"/>
    <w:rsid w:val="009B1DA2"/>
    <w:rsid w:val="009B259E"/>
    <w:rsid w:val="009B357A"/>
    <w:rsid w:val="009B3ACC"/>
    <w:rsid w:val="009B4E8C"/>
    <w:rsid w:val="009B51AD"/>
    <w:rsid w:val="009B521E"/>
    <w:rsid w:val="009B564F"/>
    <w:rsid w:val="009B7DEC"/>
    <w:rsid w:val="009C1AB3"/>
    <w:rsid w:val="009C200F"/>
    <w:rsid w:val="009C3014"/>
    <w:rsid w:val="009C30D2"/>
    <w:rsid w:val="009C3136"/>
    <w:rsid w:val="009C3CEF"/>
    <w:rsid w:val="009C3EA8"/>
    <w:rsid w:val="009C459A"/>
    <w:rsid w:val="009C555D"/>
    <w:rsid w:val="009C6C81"/>
    <w:rsid w:val="009C6EDE"/>
    <w:rsid w:val="009C78F8"/>
    <w:rsid w:val="009C7EB2"/>
    <w:rsid w:val="009D0578"/>
    <w:rsid w:val="009D0B4B"/>
    <w:rsid w:val="009D0BD3"/>
    <w:rsid w:val="009D1BD1"/>
    <w:rsid w:val="009D2602"/>
    <w:rsid w:val="009D393B"/>
    <w:rsid w:val="009D41F9"/>
    <w:rsid w:val="009D4BC5"/>
    <w:rsid w:val="009D4D72"/>
    <w:rsid w:val="009D5759"/>
    <w:rsid w:val="009D6FE9"/>
    <w:rsid w:val="009E09ED"/>
    <w:rsid w:val="009E242A"/>
    <w:rsid w:val="009E3128"/>
    <w:rsid w:val="009E3467"/>
    <w:rsid w:val="009E4997"/>
    <w:rsid w:val="009E4A5A"/>
    <w:rsid w:val="009E644F"/>
    <w:rsid w:val="009E75D1"/>
    <w:rsid w:val="009E770E"/>
    <w:rsid w:val="009F1063"/>
    <w:rsid w:val="009F2FDF"/>
    <w:rsid w:val="009F32A6"/>
    <w:rsid w:val="009F3BA5"/>
    <w:rsid w:val="009F534B"/>
    <w:rsid w:val="009F543F"/>
    <w:rsid w:val="009F5744"/>
    <w:rsid w:val="009F5A0A"/>
    <w:rsid w:val="009F65EF"/>
    <w:rsid w:val="009F685E"/>
    <w:rsid w:val="00A00978"/>
    <w:rsid w:val="00A00ECD"/>
    <w:rsid w:val="00A01285"/>
    <w:rsid w:val="00A0466F"/>
    <w:rsid w:val="00A0472E"/>
    <w:rsid w:val="00A06D03"/>
    <w:rsid w:val="00A0711D"/>
    <w:rsid w:val="00A073B8"/>
    <w:rsid w:val="00A0776A"/>
    <w:rsid w:val="00A07D7D"/>
    <w:rsid w:val="00A10289"/>
    <w:rsid w:val="00A1086A"/>
    <w:rsid w:val="00A114CB"/>
    <w:rsid w:val="00A116C7"/>
    <w:rsid w:val="00A124E2"/>
    <w:rsid w:val="00A135F4"/>
    <w:rsid w:val="00A1465C"/>
    <w:rsid w:val="00A14EB9"/>
    <w:rsid w:val="00A1587F"/>
    <w:rsid w:val="00A15CF6"/>
    <w:rsid w:val="00A16C7E"/>
    <w:rsid w:val="00A17C5D"/>
    <w:rsid w:val="00A17F79"/>
    <w:rsid w:val="00A21423"/>
    <w:rsid w:val="00A217B9"/>
    <w:rsid w:val="00A21E95"/>
    <w:rsid w:val="00A228D9"/>
    <w:rsid w:val="00A250D0"/>
    <w:rsid w:val="00A2567E"/>
    <w:rsid w:val="00A26111"/>
    <w:rsid w:val="00A26F44"/>
    <w:rsid w:val="00A27472"/>
    <w:rsid w:val="00A2751E"/>
    <w:rsid w:val="00A27BD6"/>
    <w:rsid w:val="00A27EA9"/>
    <w:rsid w:val="00A300D6"/>
    <w:rsid w:val="00A30782"/>
    <w:rsid w:val="00A30DFA"/>
    <w:rsid w:val="00A31121"/>
    <w:rsid w:val="00A314C8"/>
    <w:rsid w:val="00A33AAF"/>
    <w:rsid w:val="00A3564F"/>
    <w:rsid w:val="00A373E4"/>
    <w:rsid w:val="00A377DA"/>
    <w:rsid w:val="00A407C8"/>
    <w:rsid w:val="00A43EC5"/>
    <w:rsid w:val="00A4627D"/>
    <w:rsid w:val="00A46377"/>
    <w:rsid w:val="00A50061"/>
    <w:rsid w:val="00A508AE"/>
    <w:rsid w:val="00A51B12"/>
    <w:rsid w:val="00A51EE7"/>
    <w:rsid w:val="00A525A1"/>
    <w:rsid w:val="00A52AF1"/>
    <w:rsid w:val="00A53C55"/>
    <w:rsid w:val="00A53D53"/>
    <w:rsid w:val="00A54886"/>
    <w:rsid w:val="00A5585D"/>
    <w:rsid w:val="00A568EE"/>
    <w:rsid w:val="00A57521"/>
    <w:rsid w:val="00A576F1"/>
    <w:rsid w:val="00A57D09"/>
    <w:rsid w:val="00A57F19"/>
    <w:rsid w:val="00A600E4"/>
    <w:rsid w:val="00A60F2E"/>
    <w:rsid w:val="00A61208"/>
    <w:rsid w:val="00A61E49"/>
    <w:rsid w:val="00A62F95"/>
    <w:rsid w:val="00A63CE6"/>
    <w:rsid w:val="00A641C8"/>
    <w:rsid w:val="00A642BE"/>
    <w:rsid w:val="00A64C10"/>
    <w:rsid w:val="00A64E6D"/>
    <w:rsid w:val="00A6616E"/>
    <w:rsid w:val="00A66B23"/>
    <w:rsid w:val="00A670A9"/>
    <w:rsid w:val="00A67519"/>
    <w:rsid w:val="00A70200"/>
    <w:rsid w:val="00A70905"/>
    <w:rsid w:val="00A71288"/>
    <w:rsid w:val="00A71475"/>
    <w:rsid w:val="00A71DC1"/>
    <w:rsid w:val="00A7242F"/>
    <w:rsid w:val="00A7343E"/>
    <w:rsid w:val="00A7389E"/>
    <w:rsid w:val="00A73E13"/>
    <w:rsid w:val="00A74ADE"/>
    <w:rsid w:val="00A75374"/>
    <w:rsid w:val="00A764B6"/>
    <w:rsid w:val="00A766B6"/>
    <w:rsid w:val="00A770EA"/>
    <w:rsid w:val="00A77194"/>
    <w:rsid w:val="00A775F5"/>
    <w:rsid w:val="00A77723"/>
    <w:rsid w:val="00A778E1"/>
    <w:rsid w:val="00A81808"/>
    <w:rsid w:val="00A819FD"/>
    <w:rsid w:val="00A81FD2"/>
    <w:rsid w:val="00A82DED"/>
    <w:rsid w:val="00A82EB5"/>
    <w:rsid w:val="00A83603"/>
    <w:rsid w:val="00A84B67"/>
    <w:rsid w:val="00A869D6"/>
    <w:rsid w:val="00A86C44"/>
    <w:rsid w:val="00A87A40"/>
    <w:rsid w:val="00A90735"/>
    <w:rsid w:val="00A912C5"/>
    <w:rsid w:val="00A91420"/>
    <w:rsid w:val="00A9189C"/>
    <w:rsid w:val="00A935F3"/>
    <w:rsid w:val="00A93A95"/>
    <w:rsid w:val="00A946DA"/>
    <w:rsid w:val="00A94760"/>
    <w:rsid w:val="00A94DF9"/>
    <w:rsid w:val="00A95453"/>
    <w:rsid w:val="00A95BE3"/>
    <w:rsid w:val="00A95FB3"/>
    <w:rsid w:val="00A9649D"/>
    <w:rsid w:val="00A967B0"/>
    <w:rsid w:val="00A96B32"/>
    <w:rsid w:val="00A97193"/>
    <w:rsid w:val="00AA08CA"/>
    <w:rsid w:val="00AA1750"/>
    <w:rsid w:val="00AA1D8A"/>
    <w:rsid w:val="00AA3066"/>
    <w:rsid w:val="00AA568A"/>
    <w:rsid w:val="00AA649E"/>
    <w:rsid w:val="00AA787D"/>
    <w:rsid w:val="00AA7BEE"/>
    <w:rsid w:val="00AA7F8D"/>
    <w:rsid w:val="00AB0C08"/>
    <w:rsid w:val="00AB1051"/>
    <w:rsid w:val="00AB31B9"/>
    <w:rsid w:val="00AB4ECE"/>
    <w:rsid w:val="00AB6AD2"/>
    <w:rsid w:val="00AC006F"/>
    <w:rsid w:val="00AC0FDB"/>
    <w:rsid w:val="00AC16DD"/>
    <w:rsid w:val="00AC1898"/>
    <w:rsid w:val="00AC1EB7"/>
    <w:rsid w:val="00AC24BD"/>
    <w:rsid w:val="00AC5265"/>
    <w:rsid w:val="00AC65A5"/>
    <w:rsid w:val="00AC7048"/>
    <w:rsid w:val="00AC774F"/>
    <w:rsid w:val="00AC7902"/>
    <w:rsid w:val="00AC7EEC"/>
    <w:rsid w:val="00AD0485"/>
    <w:rsid w:val="00AD0ACF"/>
    <w:rsid w:val="00AD0EA9"/>
    <w:rsid w:val="00AD205D"/>
    <w:rsid w:val="00AD2391"/>
    <w:rsid w:val="00AD3D6A"/>
    <w:rsid w:val="00AD4B80"/>
    <w:rsid w:val="00AD5279"/>
    <w:rsid w:val="00AD6A39"/>
    <w:rsid w:val="00AD7617"/>
    <w:rsid w:val="00AE0627"/>
    <w:rsid w:val="00AE2BD3"/>
    <w:rsid w:val="00AE3D7C"/>
    <w:rsid w:val="00AE6725"/>
    <w:rsid w:val="00AE729A"/>
    <w:rsid w:val="00AF01FC"/>
    <w:rsid w:val="00AF254E"/>
    <w:rsid w:val="00AF317D"/>
    <w:rsid w:val="00AF35C9"/>
    <w:rsid w:val="00AF3F76"/>
    <w:rsid w:val="00AF5341"/>
    <w:rsid w:val="00AF5548"/>
    <w:rsid w:val="00AF56B7"/>
    <w:rsid w:val="00AF6169"/>
    <w:rsid w:val="00AF7222"/>
    <w:rsid w:val="00B00142"/>
    <w:rsid w:val="00B00D57"/>
    <w:rsid w:val="00B018BC"/>
    <w:rsid w:val="00B01A4B"/>
    <w:rsid w:val="00B02702"/>
    <w:rsid w:val="00B048BB"/>
    <w:rsid w:val="00B048D3"/>
    <w:rsid w:val="00B05138"/>
    <w:rsid w:val="00B052B9"/>
    <w:rsid w:val="00B05306"/>
    <w:rsid w:val="00B05527"/>
    <w:rsid w:val="00B05F28"/>
    <w:rsid w:val="00B066BB"/>
    <w:rsid w:val="00B06EAB"/>
    <w:rsid w:val="00B073B8"/>
    <w:rsid w:val="00B0749F"/>
    <w:rsid w:val="00B074D4"/>
    <w:rsid w:val="00B0780A"/>
    <w:rsid w:val="00B07865"/>
    <w:rsid w:val="00B10732"/>
    <w:rsid w:val="00B11320"/>
    <w:rsid w:val="00B11B2A"/>
    <w:rsid w:val="00B1243B"/>
    <w:rsid w:val="00B1277F"/>
    <w:rsid w:val="00B14062"/>
    <w:rsid w:val="00B14CD5"/>
    <w:rsid w:val="00B15BBA"/>
    <w:rsid w:val="00B16BC8"/>
    <w:rsid w:val="00B16C44"/>
    <w:rsid w:val="00B22864"/>
    <w:rsid w:val="00B23001"/>
    <w:rsid w:val="00B246CE"/>
    <w:rsid w:val="00B24791"/>
    <w:rsid w:val="00B2516A"/>
    <w:rsid w:val="00B30911"/>
    <w:rsid w:val="00B30A0E"/>
    <w:rsid w:val="00B31B0D"/>
    <w:rsid w:val="00B3432F"/>
    <w:rsid w:val="00B34504"/>
    <w:rsid w:val="00B37AAD"/>
    <w:rsid w:val="00B37E4C"/>
    <w:rsid w:val="00B4045B"/>
    <w:rsid w:val="00B4223D"/>
    <w:rsid w:val="00B424F5"/>
    <w:rsid w:val="00B42989"/>
    <w:rsid w:val="00B4329A"/>
    <w:rsid w:val="00B43707"/>
    <w:rsid w:val="00B439F8"/>
    <w:rsid w:val="00B4458B"/>
    <w:rsid w:val="00B450B1"/>
    <w:rsid w:val="00B4570D"/>
    <w:rsid w:val="00B4606E"/>
    <w:rsid w:val="00B4666E"/>
    <w:rsid w:val="00B470F6"/>
    <w:rsid w:val="00B47E46"/>
    <w:rsid w:val="00B50828"/>
    <w:rsid w:val="00B510FA"/>
    <w:rsid w:val="00B5189C"/>
    <w:rsid w:val="00B51A16"/>
    <w:rsid w:val="00B5218F"/>
    <w:rsid w:val="00B53C1A"/>
    <w:rsid w:val="00B5566B"/>
    <w:rsid w:val="00B557C4"/>
    <w:rsid w:val="00B55CE2"/>
    <w:rsid w:val="00B56438"/>
    <w:rsid w:val="00B572E3"/>
    <w:rsid w:val="00B577BE"/>
    <w:rsid w:val="00B57CE6"/>
    <w:rsid w:val="00B60CC1"/>
    <w:rsid w:val="00B610C0"/>
    <w:rsid w:val="00B62AA7"/>
    <w:rsid w:val="00B62E77"/>
    <w:rsid w:val="00B62FC8"/>
    <w:rsid w:val="00B6329B"/>
    <w:rsid w:val="00B6360F"/>
    <w:rsid w:val="00B65B81"/>
    <w:rsid w:val="00B65F77"/>
    <w:rsid w:val="00B66CFE"/>
    <w:rsid w:val="00B6765E"/>
    <w:rsid w:val="00B678E5"/>
    <w:rsid w:val="00B679E5"/>
    <w:rsid w:val="00B702EF"/>
    <w:rsid w:val="00B708AA"/>
    <w:rsid w:val="00B722EE"/>
    <w:rsid w:val="00B72921"/>
    <w:rsid w:val="00B7343B"/>
    <w:rsid w:val="00B73E5F"/>
    <w:rsid w:val="00B753EF"/>
    <w:rsid w:val="00B75F82"/>
    <w:rsid w:val="00B760AD"/>
    <w:rsid w:val="00B8001A"/>
    <w:rsid w:val="00B802AC"/>
    <w:rsid w:val="00B80682"/>
    <w:rsid w:val="00B84512"/>
    <w:rsid w:val="00B8480E"/>
    <w:rsid w:val="00B85794"/>
    <w:rsid w:val="00B85DFA"/>
    <w:rsid w:val="00B85E25"/>
    <w:rsid w:val="00B85F8C"/>
    <w:rsid w:val="00B86BC8"/>
    <w:rsid w:val="00B86DF1"/>
    <w:rsid w:val="00B90718"/>
    <w:rsid w:val="00B9075A"/>
    <w:rsid w:val="00B90A04"/>
    <w:rsid w:val="00B90E07"/>
    <w:rsid w:val="00B911DD"/>
    <w:rsid w:val="00B91496"/>
    <w:rsid w:val="00B924D1"/>
    <w:rsid w:val="00B93900"/>
    <w:rsid w:val="00B93B03"/>
    <w:rsid w:val="00B95F98"/>
    <w:rsid w:val="00B961B1"/>
    <w:rsid w:val="00B962FC"/>
    <w:rsid w:val="00B973DC"/>
    <w:rsid w:val="00B97759"/>
    <w:rsid w:val="00B97E6F"/>
    <w:rsid w:val="00BA0156"/>
    <w:rsid w:val="00BA2E9F"/>
    <w:rsid w:val="00BA33A2"/>
    <w:rsid w:val="00BA36A5"/>
    <w:rsid w:val="00BA3782"/>
    <w:rsid w:val="00BA6551"/>
    <w:rsid w:val="00BA65A5"/>
    <w:rsid w:val="00BA723F"/>
    <w:rsid w:val="00BB00B3"/>
    <w:rsid w:val="00BB018F"/>
    <w:rsid w:val="00BB0201"/>
    <w:rsid w:val="00BB1E2E"/>
    <w:rsid w:val="00BB37B8"/>
    <w:rsid w:val="00BB3A35"/>
    <w:rsid w:val="00BB4747"/>
    <w:rsid w:val="00BB4838"/>
    <w:rsid w:val="00BB5011"/>
    <w:rsid w:val="00BB6466"/>
    <w:rsid w:val="00BB681E"/>
    <w:rsid w:val="00BB689D"/>
    <w:rsid w:val="00BB6BA6"/>
    <w:rsid w:val="00BB72E0"/>
    <w:rsid w:val="00BB781B"/>
    <w:rsid w:val="00BB7CD3"/>
    <w:rsid w:val="00BB7D93"/>
    <w:rsid w:val="00BB7F1A"/>
    <w:rsid w:val="00BC0266"/>
    <w:rsid w:val="00BC0BDE"/>
    <w:rsid w:val="00BC0FE9"/>
    <w:rsid w:val="00BC2BA2"/>
    <w:rsid w:val="00BC2DF3"/>
    <w:rsid w:val="00BC39E6"/>
    <w:rsid w:val="00BC5A89"/>
    <w:rsid w:val="00BC613F"/>
    <w:rsid w:val="00BC6998"/>
    <w:rsid w:val="00BC6AB0"/>
    <w:rsid w:val="00BC6C23"/>
    <w:rsid w:val="00BC77B4"/>
    <w:rsid w:val="00BD202C"/>
    <w:rsid w:val="00BD2080"/>
    <w:rsid w:val="00BD28AA"/>
    <w:rsid w:val="00BD2E04"/>
    <w:rsid w:val="00BD360D"/>
    <w:rsid w:val="00BD381E"/>
    <w:rsid w:val="00BD3F77"/>
    <w:rsid w:val="00BD4A73"/>
    <w:rsid w:val="00BD4B07"/>
    <w:rsid w:val="00BD52D0"/>
    <w:rsid w:val="00BD56ED"/>
    <w:rsid w:val="00BD5750"/>
    <w:rsid w:val="00BD65D9"/>
    <w:rsid w:val="00BD7A34"/>
    <w:rsid w:val="00BD7EC7"/>
    <w:rsid w:val="00BE045A"/>
    <w:rsid w:val="00BE45B9"/>
    <w:rsid w:val="00BE5854"/>
    <w:rsid w:val="00BE5A56"/>
    <w:rsid w:val="00BE5F46"/>
    <w:rsid w:val="00BE655E"/>
    <w:rsid w:val="00BF1672"/>
    <w:rsid w:val="00BF1DC9"/>
    <w:rsid w:val="00BF1E49"/>
    <w:rsid w:val="00BF20A3"/>
    <w:rsid w:val="00BF2722"/>
    <w:rsid w:val="00BF36CB"/>
    <w:rsid w:val="00BF3861"/>
    <w:rsid w:val="00BF4522"/>
    <w:rsid w:val="00BF47E5"/>
    <w:rsid w:val="00BF659C"/>
    <w:rsid w:val="00BF7102"/>
    <w:rsid w:val="00C0015E"/>
    <w:rsid w:val="00C0136C"/>
    <w:rsid w:val="00C02AAC"/>
    <w:rsid w:val="00C03273"/>
    <w:rsid w:val="00C05793"/>
    <w:rsid w:val="00C06537"/>
    <w:rsid w:val="00C068B6"/>
    <w:rsid w:val="00C077B1"/>
    <w:rsid w:val="00C10252"/>
    <w:rsid w:val="00C11404"/>
    <w:rsid w:val="00C117CA"/>
    <w:rsid w:val="00C13024"/>
    <w:rsid w:val="00C13C94"/>
    <w:rsid w:val="00C13EAA"/>
    <w:rsid w:val="00C13F99"/>
    <w:rsid w:val="00C143CD"/>
    <w:rsid w:val="00C16381"/>
    <w:rsid w:val="00C16507"/>
    <w:rsid w:val="00C16FD2"/>
    <w:rsid w:val="00C17869"/>
    <w:rsid w:val="00C2050B"/>
    <w:rsid w:val="00C20922"/>
    <w:rsid w:val="00C20D65"/>
    <w:rsid w:val="00C2141F"/>
    <w:rsid w:val="00C21932"/>
    <w:rsid w:val="00C2216D"/>
    <w:rsid w:val="00C2288E"/>
    <w:rsid w:val="00C23A16"/>
    <w:rsid w:val="00C23C30"/>
    <w:rsid w:val="00C24609"/>
    <w:rsid w:val="00C24C86"/>
    <w:rsid w:val="00C251C5"/>
    <w:rsid w:val="00C263EF"/>
    <w:rsid w:val="00C2654F"/>
    <w:rsid w:val="00C268C5"/>
    <w:rsid w:val="00C30123"/>
    <w:rsid w:val="00C305C5"/>
    <w:rsid w:val="00C3127F"/>
    <w:rsid w:val="00C314DA"/>
    <w:rsid w:val="00C32360"/>
    <w:rsid w:val="00C328EB"/>
    <w:rsid w:val="00C32A33"/>
    <w:rsid w:val="00C32EDD"/>
    <w:rsid w:val="00C34036"/>
    <w:rsid w:val="00C3443A"/>
    <w:rsid w:val="00C34631"/>
    <w:rsid w:val="00C359BB"/>
    <w:rsid w:val="00C36A78"/>
    <w:rsid w:val="00C36C21"/>
    <w:rsid w:val="00C36D26"/>
    <w:rsid w:val="00C372B8"/>
    <w:rsid w:val="00C41268"/>
    <w:rsid w:val="00C4177B"/>
    <w:rsid w:val="00C41BBB"/>
    <w:rsid w:val="00C429F2"/>
    <w:rsid w:val="00C43B1A"/>
    <w:rsid w:val="00C43C04"/>
    <w:rsid w:val="00C43DB0"/>
    <w:rsid w:val="00C44879"/>
    <w:rsid w:val="00C4525A"/>
    <w:rsid w:val="00C45DFD"/>
    <w:rsid w:val="00C50D3E"/>
    <w:rsid w:val="00C531AA"/>
    <w:rsid w:val="00C5366E"/>
    <w:rsid w:val="00C53A33"/>
    <w:rsid w:val="00C543E5"/>
    <w:rsid w:val="00C54D67"/>
    <w:rsid w:val="00C55897"/>
    <w:rsid w:val="00C571D3"/>
    <w:rsid w:val="00C574B9"/>
    <w:rsid w:val="00C57AE9"/>
    <w:rsid w:val="00C57E23"/>
    <w:rsid w:val="00C60AC1"/>
    <w:rsid w:val="00C60CB4"/>
    <w:rsid w:val="00C622C3"/>
    <w:rsid w:val="00C62CF5"/>
    <w:rsid w:val="00C63986"/>
    <w:rsid w:val="00C6751A"/>
    <w:rsid w:val="00C67B63"/>
    <w:rsid w:val="00C70998"/>
    <w:rsid w:val="00C71011"/>
    <w:rsid w:val="00C71062"/>
    <w:rsid w:val="00C722E6"/>
    <w:rsid w:val="00C728F1"/>
    <w:rsid w:val="00C75546"/>
    <w:rsid w:val="00C76D92"/>
    <w:rsid w:val="00C770CA"/>
    <w:rsid w:val="00C77557"/>
    <w:rsid w:val="00C80D86"/>
    <w:rsid w:val="00C81CC8"/>
    <w:rsid w:val="00C83CCA"/>
    <w:rsid w:val="00C855BC"/>
    <w:rsid w:val="00C86204"/>
    <w:rsid w:val="00C87347"/>
    <w:rsid w:val="00C873E5"/>
    <w:rsid w:val="00C877FD"/>
    <w:rsid w:val="00C9004D"/>
    <w:rsid w:val="00C90A31"/>
    <w:rsid w:val="00C916DB"/>
    <w:rsid w:val="00C921A0"/>
    <w:rsid w:val="00C9240E"/>
    <w:rsid w:val="00C92872"/>
    <w:rsid w:val="00C9398B"/>
    <w:rsid w:val="00C94D25"/>
    <w:rsid w:val="00C95B3B"/>
    <w:rsid w:val="00C96570"/>
    <w:rsid w:val="00C979E4"/>
    <w:rsid w:val="00C97CD9"/>
    <w:rsid w:val="00CA0585"/>
    <w:rsid w:val="00CA0D47"/>
    <w:rsid w:val="00CA2022"/>
    <w:rsid w:val="00CA2CA7"/>
    <w:rsid w:val="00CA39B5"/>
    <w:rsid w:val="00CA41D5"/>
    <w:rsid w:val="00CA50C4"/>
    <w:rsid w:val="00CA53B7"/>
    <w:rsid w:val="00CA6465"/>
    <w:rsid w:val="00CA773F"/>
    <w:rsid w:val="00CB17E1"/>
    <w:rsid w:val="00CB187B"/>
    <w:rsid w:val="00CB2428"/>
    <w:rsid w:val="00CB25F8"/>
    <w:rsid w:val="00CB28BD"/>
    <w:rsid w:val="00CB30CC"/>
    <w:rsid w:val="00CB3A1C"/>
    <w:rsid w:val="00CB3CBB"/>
    <w:rsid w:val="00CB4112"/>
    <w:rsid w:val="00CB5C00"/>
    <w:rsid w:val="00CB5DCE"/>
    <w:rsid w:val="00CB601D"/>
    <w:rsid w:val="00CB6BF9"/>
    <w:rsid w:val="00CB788B"/>
    <w:rsid w:val="00CC0C3A"/>
    <w:rsid w:val="00CC1090"/>
    <w:rsid w:val="00CC133A"/>
    <w:rsid w:val="00CC193D"/>
    <w:rsid w:val="00CC1A96"/>
    <w:rsid w:val="00CC22D1"/>
    <w:rsid w:val="00CC29A0"/>
    <w:rsid w:val="00CC3ECE"/>
    <w:rsid w:val="00CC3F08"/>
    <w:rsid w:val="00CC4D15"/>
    <w:rsid w:val="00CC4DE1"/>
    <w:rsid w:val="00CC603F"/>
    <w:rsid w:val="00CC6DF6"/>
    <w:rsid w:val="00CC7C7A"/>
    <w:rsid w:val="00CD4488"/>
    <w:rsid w:val="00CD4DF9"/>
    <w:rsid w:val="00CD4E65"/>
    <w:rsid w:val="00CD5869"/>
    <w:rsid w:val="00CD6014"/>
    <w:rsid w:val="00CD72EC"/>
    <w:rsid w:val="00CE0884"/>
    <w:rsid w:val="00CE182B"/>
    <w:rsid w:val="00CE1865"/>
    <w:rsid w:val="00CE1A46"/>
    <w:rsid w:val="00CE249B"/>
    <w:rsid w:val="00CE4751"/>
    <w:rsid w:val="00CE49E6"/>
    <w:rsid w:val="00CE5766"/>
    <w:rsid w:val="00CE5BB4"/>
    <w:rsid w:val="00CE6F93"/>
    <w:rsid w:val="00CE7A45"/>
    <w:rsid w:val="00CE7D24"/>
    <w:rsid w:val="00CF0161"/>
    <w:rsid w:val="00CF089B"/>
    <w:rsid w:val="00CF155C"/>
    <w:rsid w:val="00CF1691"/>
    <w:rsid w:val="00CF2457"/>
    <w:rsid w:val="00CF310B"/>
    <w:rsid w:val="00CF33B3"/>
    <w:rsid w:val="00CF7504"/>
    <w:rsid w:val="00CF7A88"/>
    <w:rsid w:val="00D0033E"/>
    <w:rsid w:val="00D00C46"/>
    <w:rsid w:val="00D00F21"/>
    <w:rsid w:val="00D01D06"/>
    <w:rsid w:val="00D022BD"/>
    <w:rsid w:val="00D027C6"/>
    <w:rsid w:val="00D03732"/>
    <w:rsid w:val="00D03914"/>
    <w:rsid w:val="00D047E6"/>
    <w:rsid w:val="00D04C91"/>
    <w:rsid w:val="00D0545B"/>
    <w:rsid w:val="00D056EB"/>
    <w:rsid w:val="00D05B89"/>
    <w:rsid w:val="00D05BF1"/>
    <w:rsid w:val="00D065CD"/>
    <w:rsid w:val="00D069AE"/>
    <w:rsid w:val="00D06BA6"/>
    <w:rsid w:val="00D06DCF"/>
    <w:rsid w:val="00D072BF"/>
    <w:rsid w:val="00D07324"/>
    <w:rsid w:val="00D103C6"/>
    <w:rsid w:val="00D110F3"/>
    <w:rsid w:val="00D11C46"/>
    <w:rsid w:val="00D12850"/>
    <w:rsid w:val="00D12FCD"/>
    <w:rsid w:val="00D13DAD"/>
    <w:rsid w:val="00D149E4"/>
    <w:rsid w:val="00D14BDF"/>
    <w:rsid w:val="00D14E70"/>
    <w:rsid w:val="00D15BF4"/>
    <w:rsid w:val="00D16223"/>
    <w:rsid w:val="00D166AF"/>
    <w:rsid w:val="00D1744A"/>
    <w:rsid w:val="00D21AAA"/>
    <w:rsid w:val="00D21BCC"/>
    <w:rsid w:val="00D23696"/>
    <w:rsid w:val="00D2395F"/>
    <w:rsid w:val="00D239F6"/>
    <w:rsid w:val="00D23C0E"/>
    <w:rsid w:val="00D24E97"/>
    <w:rsid w:val="00D253B2"/>
    <w:rsid w:val="00D26AC1"/>
    <w:rsid w:val="00D26E46"/>
    <w:rsid w:val="00D30222"/>
    <w:rsid w:val="00D30A16"/>
    <w:rsid w:val="00D33901"/>
    <w:rsid w:val="00D3453A"/>
    <w:rsid w:val="00D345A9"/>
    <w:rsid w:val="00D35CF7"/>
    <w:rsid w:val="00D375FC"/>
    <w:rsid w:val="00D37B16"/>
    <w:rsid w:val="00D40B59"/>
    <w:rsid w:val="00D40B6F"/>
    <w:rsid w:val="00D4118C"/>
    <w:rsid w:val="00D41515"/>
    <w:rsid w:val="00D43776"/>
    <w:rsid w:val="00D43794"/>
    <w:rsid w:val="00D43961"/>
    <w:rsid w:val="00D43C83"/>
    <w:rsid w:val="00D4498B"/>
    <w:rsid w:val="00D44B6A"/>
    <w:rsid w:val="00D44C03"/>
    <w:rsid w:val="00D44C08"/>
    <w:rsid w:val="00D46FC8"/>
    <w:rsid w:val="00D51194"/>
    <w:rsid w:val="00D51487"/>
    <w:rsid w:val="00D5186B"/>
    <w:rsid w:val="00D51AA4"/>
    <w:rsid w:val="00D51F6D"/>
    <w:rsid w:val="00D52723"/>
    <w:rsid w:val="00D53535"/>
    <w:rsid w:val="00D538D4"/>
    <w:rsid w:val="00D5461E"/>
    <w:rsid w:val="00D54C4B"/>
    <w:rsid w:val="00D54EAF"/>
    <w:rsid w:val="00D55865"/>
    <w:rsid w:val="00D55EA1"/>
    <w:rsid w:val="00D572E3"/>
    <w:rsid w:val="00D60459"/>
    <w:rsid w:val="00D60C44"/>
    <w:rsid w:val="00D61531"/>
    <w:rsid w:val="00D61A42"/>
    <w:rsid w:val="00D61EB7"/>
    <w:rsid w:val="00D6282E"/>
    <w:rsid w:val="00D63488"/>
    <w:rsid w:val="00D63A80"/>
    <w:rsid w:val="00D64806"/>
    <w:rsid w:val="00D654F5"/>
    <w:rsid w:val="00D673A4"/>
    <w:rsid w:val="00D67E85"/>
    <w:rsid w:val="00D701AF"/>
    <w:rsid w:val="00D7066D"/>
    <w:rsid w:val="00D70B53"/>
    <w:rsid w:val="00D743F4"/>
    <w:rsid w:val="00D770C6"/>
    <w:rsid w:val="00D77126"/>
    <w:rsid w:val="00D8059D"/>
    <w:rsid w:val="00D81062"/>
    <w:rsid w:val="00D81CBB"/>
    <w:rsid w:val="00D82029"/>
    <w:rsid w:val="00D82A34"/>
    <w:rsid w:val="00D832A4"/>
    <w:rsid w:val="00D83B40"/>
    <w:rsid w:val="00D8570D"/>
    <w:rsid w:val="00D85B44"/>
    <w:rsid w:val="00D85BB3"/>
    <w:rsid w:val="00D862F1"/>
    <w:rsid w:val="00D86D87"/>
    <w:rsid w:val="00D86DAA"/>
    <w:rsid w:val="00D87AA2"/>
    <w:rsid w:val="00D87C6B"/>
    <w:rsid w:val="00D87F64"/>
    <w:rsid w:val="00D9161D"/>
    <w:rsid w:val="00D95035"/>
    <w:rsid w:val="00D95391"/>
    <w:rsid w:val="00D96E8A"/>
    <w:rsid w:val="00D97D9A"/>
    <w:rsid w:val="00DA0544"/>
    <w:rsid w:val="00DA1264"/>
    <w:rsid w:val="00DA2869"/>
    <w:rsid w:val="00DA32F2"/>
    <w:rsid w:val="00DA3809"/>
    <w:rsid w:val="00DA3932"/>
    <w:rsid w:val="00DA3F57"/>
    <w:rsid w:val="00DA61BE"/>
    <w:rsid w:val="00DA61F6"/>
    <w:rsid w:val="00DA633E"/>
    <w:rsid w:val="00DA63A3"/>
    <w:rsid w:val="00DA66C2"/>
    <w:rsid w:val="00DA6977"/>
    <w:rsid w:val="00DA70CF"/>
    <w:rsid w:val="00DA7295"/>
    <w:rsid w:val="00DB046F"/>
    <w:rsid w:val="00DB0CF7"/>
    <w:rsid w:val="00DB16BD"/>
    <w:rsid w:val="00DB1749"/>
    <w:rsid w:val="00DB26E1"/>
    <w:rsid w:val="00DB2E86"/>
    <w:rsid w:val="00DB2FD1"/>
    <w:rsid w:val="00DB360E"/>
    <w:rsid w:val="00DB3F84"/>
    <w:rsid w:val="00DB3FBF"/>
    <w:rsid w:val="00DB4373"/>
    <w:rsid w:val="00DB5D94"/>
    <w:rsid w:val="00DB6994"/>
    <w:rsid w:val="00DB7288"/>
    <w:rsid w:val="00DC018B"/>
    <w:rsid w:val="00DC10B5"/>
    <w:rsid w:val="00DC168E"/>
    <w:rsid w:val="00DC1960"/>
    <w:rsid w:val="00DC2CB1"/>
    <w:rsid w:val="00DC3D59"/>
    <w:rsid w:val="00DC5337"/>
    <w:rsid w:val="00DC68E9"/>
    <w:rsid w:val="00DC6ECF"/>
    <w:rsid w:val="00DC74BE"/>
    <w:rsid w:val="00DC7654"/>
    <w:rsid w:val="00DD168A"/>
    <w:rsid w:val="00DD1ED2"/>
    <w:rsid w:val="00DD208C"/>
    <w:rsid w:val="00DD230B"/>
    <w:rsid w:val="00DD3F21"/>
    <w:rsid w:val="00DD445E"/>
    <w:rsid w:val="00DD465E"/>
    <w:rsid w:val="00DD5320"/>
    <w:rsid w:val="00DD61B7"/>
    <w:rsid w:val="00DD63E1"/>
    <w:rsid w:val="00DE1CF2"/>
    <w:rsid w:val="00DE2676"/>
    <w:rsid w:val="00DE28BB"/>
    <w:rsid w:val="00DE299A"/>
    <w:rsid w:val="00DE2D32"/>
    <w:rsid w:val="00DE2D81"/>
    <w:rsid w:val="00DE2FFA"/>
    <w:rsid w:val="00DE33A4"/>
    <w:rsid w:val="00DE36B0"/>
    <w:rsid w:val="00DE4205"/>
    <w:rsid w:val="00DE4600"/>
    <w:rsid w:val="00DE4A4E"/>
    <w:rsid w:val="00DE4B50"/>
    <w:rsid w:val="00DE4F07"/>
    <w:rsid w:val="00DE554B"/>
    <w:rsid w:val="00DE55B6"/>
    <w:rsid w:val="00DE601A"/>
    <w:rsid w:val="00DE6153"/>
    <w:rsid w:val="00DE61A6"/>
    <w:rsid w:val="00DE64CD"/>
    <w:rsid w:val="00DE65C7"/>
    <w:rsid w:val="00DE6A5B"/>
    <w:rsid w:val="00DF09BE"/>
    <w:rsid w:val="00DF0EBB"/>
    <w:rsid w:val="00DF1C25"/>
    <w:rsid w:val="00DF2D09"/>
    <w:rsid w:val="00DF2F32"/>
    <w:rsid w:val="00DF61B2"/>
    <w:rsid w:val="00DF6799"/>
    <w:rsid w:val="00DF6B43"/>
    <w:rsid w:val="00DF7356"/>
    <w:rsid w:val="00DF7D5C"/>
    <w:rsid w:val="00E01213"/>
    <w:rsid w:val="00E01251"/>
    <w:rsid w:val="00E01265"/>
    <w:rsid w:val="00E03BD6"/>
    <w:rsid w:val="00E03CA0"/>
    <w:rsid w:val="00E048D4"/>
    <w:rsid w:val="00E049E9"/>
    <w:rsid w:val="00E05F0C"/>
    <w:rsid w:val="00E064EF"/>
    <w:rsid w:val="00E06E32"/>
    <w:rsid w:val="00E10954"/>
    <w:rsid w:val="00E112FD"/>
    <w:rsid w:val="00E11724"/>
    <w:rsid w:val="00E11743"/>
    <w:rsid w:val="00E1250D"/>
    <w:rsid w:val="00E1273A"/>
    <w:rsid w:val="00E12833"/>
    <w:rsid w:val="00E129E2"/>
    <w:rsid w:val="00E1693A"/>
    <w:rsid w:val="00E17356"/>
    <w:rsid w:val="00E208D2"/>
    <w:rsid w:val="00E20C3C"/>
    <w:rsid w:val="00E22187"/>
    <w:rsid w:val="00E2219E"/>
    <w:rsid w:val="00E22F02"/>
    <w:rsid w:val="00E23BE5"/>
    <w:rsid w:val="00E23C0C"/>
    <w:rsid w:val="00E24E14"/>
    <w:rsid w:val="00E25358"/>
    <w:rsid w:val="00E2540D"/>
    <w:rsid w:val="00E2730C"/>
    <w:rsid w:val="00E30B9C"/>
    <w:rsid w:val="00E327ED"/>
    <w:rsid w:val="00E3463D"/>
    <w:rsid w:val="00E3479E"/>
    <w:rsid w:val="00E35883"/>
    <w:rsid w:val="00E35B35"/>
    <w:rsid w:val="00E36E06"/>
    <w:rsid w:val="00E370F6"/>
    <w:rsid w:val="00E379B4"/>
    <w:rsid w:val="00E37C19"/>
    <w:rsid w:val="00E37FD7"/>
    <w:rsid w:val="00E41070"/>
    <w:rsid w:val="00E414B4"/>
    <w:rsid w:val="00E414D1"/>
    <w:rsid w:val="00E41B76"/>
    <w:rsid w:val="00E423E7"/>
    <w:rsid w:val="00E42713"/>
    <w:rsid w:val="00E435D8"/>
    <w:rsid w:val="00E43ED0"/>
    <w:rsid w:val="00E43F50"/>
    <w:rsid w:val="00E442C2"/>
    <w:rsid w:val="00E446D3"/>
    <w:rsid w:val="00E446E0"/>
    <w:rsid w:val="00E47356"/>
    <w:rsid w:val="00E47896"/>
    <w:rsid w:val="00E50874"/>
    <w:rsid w:val="00E5274F"/>
    <w:rsid w:val="00E547E5"/>
    <w:rsid w:val="00E54F5E"/>
    <w:rsid w:val="00E55FD2"/>
    <w:rsid w:val="00E569E1"/>
    <w:rsid w:val="00E56B00"/>
    <w:rsid w:val="00E56D75"/>
    <w:rsid w:val="00E56E59"/>
    <w:rsid w:val="00E60BAB"/>
    <w:rsid w:val="00E6142F"/>
    <w:rsid w:val="00E61692"/>
    <w:rsid w:val="00E6203D"/>
    <w:rsid w:val="00E621E1"/>
    <w:rsid w:val="00E62D74"/>
    <w:rsid w:val="00E63535"/>
    <w:rsid w:val="00E646CA"/>
    <w:rsid w:val="00E66EEE"/>
    <w:rsid w:val="00E67BCF"/>
    <w:rsid w:val="00E67EF4"/>
    <w:rsid w:val="00E67F9E"/>
    <w:rsid w:val="00E70807"/>
    <w:rsid w:val="00E711C2"/>
    <w:rsid w:val="00E714BB"/>
    <w:rsid w:val="00E718AB"/>
    <w:rsid w:val="00E71BB4"/>
    <w:rsid w:val="00E71CE7"/>
    <w:rsid w:val="00E7270E"/>
    <w:rsid w:val="00E72BC5"/>
    <w:rsid w:val="00E731B4"/>
    <w:rsid w:val="00E74A27"/>
    <w:rsid w:val="00E74EBB"/>
    <w:rsid w:val="00E75A39"/>
    <w:rsid w:val="00E763DE"/>
    <w:rsid w:val="00E76541"/>
    <w:rsid w:val="00E765E1"/>
    <w:rsid w:val="00E76DDA"/>
    <w:rsid w:val="00E83625"/>
    <w:rsid w:val="00E846FE"/>
    <w:rsid w:val="00E84C02"/>
    <w:rsid w:val="00E850B6"/>
    <w:rsid w:val="00E852AE"/>
    <w:rsid w:val="00E868A1"/>
    <w:rsid w:val="00E90345"/>
    <w:rsid w:val="00E904E5"/>
    <w:rsid w:val="00E91D9D"/>
    <w:rsid w:val="00E9315F"/>
    <w:rsid w:val="00E93F84"/>
    <w:rsid w:val="00E94223"/>
    <w:rsid w:val="00E954AB"/>
    <w:rsid w:val="00E96103"/>
    <w:rsid w:val="00E97A67"/>
    <w:rsid w:val="00E97ED3"/>
    <w:rsid w:val="00EA0396"/>
    <w:rsid w:val="00EA0937"/>
    <w:rsid w:val="00EA14F2"/>
    <w:rsid w:val="00EA19FB"/>
    <w:rsid w:val="00EA230F"/>
    <w:rsid w:val="00EA28B7"/>
    <w:rsid w:val="00EA3E70"/>
    <w:rsid w:val="00EA3EDC"/>
    <w:rsid w:val="00EA4122"/>
    <w:rsid w:val="00EA430D"/>
    <w:rsid w:val="00EA4323"/>
    <w:rsid w:val="00EA4C83"/>
    <w:rsid w:val="00EA53D4"/>
    <w:rsid w:val="00EA5F7A"/>
    <w:rsid w:val="00EA713E"/>
    <w:rsid w:val="00EA731F"/>
    <w:rsid w:val="00EB009E"/>
    <w:rsid w:val="00EB1DB8"/>
    <w:rsid w:val="00EB3330"/>
    <w:rsid w:val="00EB3491"/>
    <w:rsid w:val="00EB3FDC"/>
    <w:rsid w:val="00EB4641"/>
    <w:rsid w:val="00EB4D7D"/>
    <w:rsid w:val="00EB4DC7"/>
    <w:rsid w:val="00EB5BFF"/>
    <w:rsid w:val="00EB76C6"/>
    <w:rsid w:val="00EC032B"/>
    <w:rsid w:val="00EC248D"/>
    <w:rsid w:val="00EC2818"/>
    <w:rsid w:val="00EC331D"/>
    <w:rsid w:val="00EC3B7B"/>
    <w:rsid w:val="00EC464A"/>
    <w:rsid w:val="00EC4AB7"/>
    <w:rsid w:val="00EC753F"/>
    <w:rsid w:val="00EC7A42"/>
    <w:rsid w:val="00ED0B07"/>
    <w:rsid w:val="00ED1315"/>
    <w:rsid w:val="00ED2B27"/>
    <w:rsid w:val="00ED3156"/>
    <w:rsid w:val="00ED5203"/>
    <w:rsid w:val="00ED54C3"/>
    <w:rsid w:val="00ED5B14"/>
    <w:rsid w:val="00ED5F72"/>
    <w:rsid w:val="00ED6140"/>
    <w:rsid w:val="00EE04BE"/>
    <w:rsid w:val="00EE1041"/>
    <w:rsid w:val="00EE28DC"/>
    <w:rsid w:val="00EE294A"/>
    <w:rsid w:val="00EE3641"/>
    <w:rsid w:val="00EE4437"/>
    <w:rsid w:val="00EE660E"/>
    <w:rsid w:val="00EE6EA4"/>
    <w:rsid w:val="00EF02F4"/>
    <w:rsid w:val="00EF2711"/>
    <w:rsid w:val="00EF3DCB"/>
    <w:rsid w:val="00EF414C"/>
    <w:rsid w:val="00EF42E6"/>
    <w:rsid w:val="00EF4564"/>
    <w:rsid w:val="00EF457C"/>
    <w:rsid w:val="00EF47DE"/>
    <w:rsid w:val="00EF48D4"/>
    <w:rsid w:val="00EF48DE"/>
    <w:rsid w:val="00EF5692"/>
    <w:rsid w:val="00EF5B6B"/>
    <w:rsid w:val="00EF5DEF"/>
    <w:rsid w:val="00EF5EC0"/>
    <w:rsid w:val="00F015C6"/>
    <w:rsid w:val="00F01BCE"/>
    <w:rsid w:val="00F0226B"/>
    <w:rsid w:val="00F03102"/>
    <w:rsid w:val="00F03D10"/>
    <w:rsid w:val="00F03FE6"/>
    <w:rsid w:val="00F04468"/>
    <w:rsid w:val="00F046D4"/>
    <w:rsid w:val="00F06E58"/>
    <w:rsid w:val="00F07690"/>
    <w:rsid w:val="00F1054C"/>
    <w:rsid w:val="00F105A1"/>
    <w:rsid w:val="00F107E6"/>
    <w:rsid w:val="00F1092F"/>
    <w:rsid w:val="00F119AD"/>
    <w:rsid w:val="00F11C01"/>
    <w:rsid w:val="00F13945"/>
    <w:rsid w:val="00F13C56"/>
    <w:rsid w:val="00F1426D"/>
    <w:rsid w:val="00F154D7"/>
    <w:rsid w:val="00F16F3C"/>
    <w:rsid w:val="00F17759"/>
    <w:rsid w:val="00F17FA2"/>
    <w:rsid w:val="00F2114D"/>
    <w:rsid w:val="00F21774"/>
    <w:rsid w:val="00F21C4E"/>
    <w:rsid w:val="00F21F87"/>
    <w:rsid w:val="00F23CDE"/>
    <w:rsid w:val="00F2428E"/>
    <w:rsid w:val="00F24443"/>
    <w:rsid w:val="00F249BF"/>
    <w:rsid w:val="00F252A8"/>
    <w:rsid w:val="00F27779"/>
    <w:rsid w:val="00F30220"/>
    <w:rsid w:val="00F30E8C"/>
    <w:rsid w:val="00F3196E"/>
    <w:rsid w:val="00F31A4F"/>
    <w:rsid w:val="00F31B91"/>
    <w:rsid w:val="00F3248A"/>
    <w:rsid w:val="00F3252C"/>
    <w:rsid w:val="00F3254C"/>
    <w:rsid w:val="00F329D7"/>
    <w:rsid w:val="00F33790"/>
    <w:rsid w:val="00F3383A"/>
    <w:rsid w:val="00F3387E"/>
    <w:rsid w:val="00F3577E"/>
    <w:rsid w:val="00F35AFE"/>
    <w:rsid w:val="00F403E0"/>
    <w:rsid w:val="00F4149A"/>
    <w:rsid w:val="00F41760"/>
    <w:rsid w:val="00F41E75"/>
    <w:rsid w:val="00F4264E"/>
    <w:rsid w:val="00F44E43"/>
    <w:rsid w:val="00F44E82"/>
    <w:rsid w:val="00F45C24"/>
    <w:rsid w:val="00F47A8D"/>
    <w:rsid w:val="00F47BEE"/>
    <w:rsid w:val="00F50BAB"/>
    <w:rsid w:val="00F518F9"/>
    <w:rsid w:val="00F522A9"/>
    <w:rsid w:val="00F524C9"/>
    <w:rsid w:val="00F52609"/>
    <w:rsid w:val="00F53FD1"/>
    <w:rsid w:val="00F54063"/>
    <w:rsid w:val="00F54295"/>
    <w:rsid w:val="00F5442E"/>
    <w:rsid w:val="00F55595"/>
    <w:rsid w:val="00F5597C"/>
    <w:rsid w:val="00F559CB"/>
    <w:rsid w:val="00F5681F"/>
    <w:rsid w:val="00F607EF"/>
    <w:rsid w:val="00F6094F"/>
    <w:rsid w:val="00F60F85"/>
    <w:rsid w:val="00F60FC7"/>
    <w:rsid w:val="00F610F9"/>
    <w:rsid w:val="00F6193E"/>
    <w:rsid w:val="00F623FB"/>
    <w:rsid w:val="00F62DD2"/>
    <w:rsid w:val="00F647AD"/>
    <w:rsid w:val="00F659A3"/>
    <w:rsid w:val="00F65CB8"/>
    <w:rsid w:val="00F66126"/>
    <w:rsid w:val="00F662E6"/>
    <w:rsid w:val="00F66F95"/>
    <w:rsid w:val="00F710BA"/>
    <w:rsid w:val="00F71804"/>
    <w:rsid w:val="00F718E2"/>
    <w:rsid w:val="00F72D53"/>
    <w:rsid w:val="00F73A1E"/>
    <w:rsid w:val="00F73D82"/>
    <w:rsid w:val="00F74535"/>
    <w:rsid w:val="00F75730"/>
    <w:rsid w:val="00F773A1"/>
    <w:rsid w:val="00F8100F"/>
    <w:rsid w:val="00F82150"/>
    <w:rsid w:val="00F821CF"/>
    <w:rsid w:val="00F82254"/>
    <w:rsid w:val="00F82BB1"/>
    <w:rsid w:val="00F82EE8"/>
    <w:rsid w:val="00F83FE7"/>
    <w:rsid w:val="00F8413F"/>
    <w:rsid w:val="00F8466A"/>
    <w:rsid w:val="00F84683"/>
    <w:rsid w:val="00F85069"/>
    <w:rsid w:val="00F86182"/>
    <w:rsid w:val="00F867A4"/>
    <w:rsid w:val="00F87FC2"/>
    <w:rsid w:val="00F900F5"/>
    <w:rsid w:val="00F912C6"/>
    <w:rsid w:val="00F9157C"/>
    <w:rsid w:val="00F9180A"/>
    <w:rsid w:val="00F920D2"/>
    <w:rsid w:val="00F9252D"/>
    <w:rsid w:val="00F92D0E"/>
    <w:rsid w:val="00F93C2A"/>
    <w:rsid w:val="00F940D5"/>
    <w:rsid w:val="00F95C07"/>
    <w:rsid w:val="00F9682B"/>
    <w:rsid w:val="00F96DDD"/>
    <w:rsid w:val="00F96EC0"/>
    <w:rsid w:val="00FA01E6"/>
    <w:rsid w:val="00FA34C5"/>
    <w:rsid w:val="00FA4FC5"/>
    <w:rsid w:val="00FA5105"/>
    <w:rsid w:val="00FA6901"/>
    <w:rsid w:val="00FA75E5"/>
    <w:rsid w:val="00FA7F1C"/>
    <w:rsid w:val="00FB161A"/>
    <w:rsid w:val="00FB193E"/>
    <w:rsid w:val="00FB2C76"/>
    <w:rsid w:val="00FB3884"/>
    <w:rsid w:val="00FB3A41"/>
    <w:rsid w:val="00FB3D82"/>
    <w:rsid w:val="00FB3F90"/>
    <w:rsid w:val="00FB6F02"/>
    <w:rsid w:val="00FC0EB0"/>
    <w:rsid w:val="00FC1435"/>
    <w:rsid w:val="00FC1628"/>
    <w:rsid w:val="00FC1C74"/>
    <w:rsid w:val="00FC1F0F"/>
    <w:rsid w:val="00FC28A7"/>
    <w:rsid w:val="00FC3CC9"/>
    <w:rsid w:val="00FC4818"/>
    <w:rsid w:val="00FC4F21"/>
    <w:rsid w:val="00FC54C4"/>
    <w:rsid w:val="00FC5C51"/>
    <w:rsid w:val="00FC61CF"/>
    <w:rsid w:val="00FC6A5B"/>
    <w:rsid w:val="00FC79B5"/>
    <w:rsid w:val="00FD0961"/>
    <w:rsid w:val="00FD0A5D"/>
    <w:rsid w:val="00FD0F3B"/>
    <w:rsid w:val="00FD1073"/>
    <w:rsid w:val="00FD3468"/>
    <w:rsid w:val="00FD4BBA"/>
    <w:rsid w:val="00FD677E"/>
    <w:rsid w:val="00FD7884"/>
    <w:rsid w:val="00FE07C7"/>
    <w:rsid w:val="00FE154E"/>
    <w:rsid w:val="00FE2481"/>
    <w:rsid w:val="00FE27D4"/>
    <w:rsid w:val="00FE36C2"/>
    <w:rsid w:val="00FE409D"/>
    <w:rsid w:val="00FE5FB8"/>
    <w:rsid w:val="00FE6BA4"/>
    <w:rsid w:val="00FF129D"/>
    <w:rsid w:val="00FF15DA"/>
    <w:rsid w:val="00FF17BD"/>
    <w:rsid w:val="00FF319A"/>
    <w:rsid w:val="00FF333E"/>
    <w:rsid w:val="00FF3F32"/>
    <w:rsid w:val="00FF42F7"/>
    <w:rsid w:val="00FF4406"/>
    <w:rsid w:val="00FF4454"/>
    <w:rsid w:val="00FF6AC4"/>
    <w:rsid w:val="00FF71B9"/>
    <w:rsid w:val="00FF78BE"/>
    <w:rsid w:val="00FF7C68"/>
    <w:rsid w:val="1668E187"/>
    <w:rsid w:val="1E96DA7A"/>
    <w:rsid w:val="3C9CD0E9"/>
    <w:rsid w:val="56327501"/>
    <w:rsid w:val="74191755"/>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676561"/>
  <w15:docId w15:val="{8365BFB4-29D2-48DB-B1FF-28C4F448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44A40"/>
    <w:rPr>
      <w:sz w:val="24"/>
      <w:szCs w:val="24"/>
      <w:lang w:val="en-US" w:eastAsia="en-US"/>
    </w:rPr>
  </w:style>
  <w:style w:type="paragraph" w:styleId="Titolo1">
    <w:name w:val="heading 1"/>
    <w:basedOn w:val="CorpoA"/>
    <w:next w:val="Normale"/>
    <w:link w:val="Titolo1Carattere"/>
    <w:uiPriority w:val="9"/>
    <w:qFormat/>
    <w:rsid w:val="00503723"/>
    <w:pPr>
      <w:keepNext/>
      <w:keepLines/>
      <w:spacing w:after="0" w:line="240" w:lineRule="auto"/>
      <w:ind w:left="68" w:firstLine="0"/>
      <w:jc w:val="center"/>
      <w:outlineLvl w:val="0"/>
    </w:pPr>
    <w:rPr>
      <w:rFonts w:ascii="Times New Roman" w:hAnsi="Times New Roman"/>
      <w:b/>
      <w:bCs/>
      <w:smallCaps/>
    </w:rPr>
  </w:style>
  <w:style w:type="paragraph" w:styleId="Titolo2">
    <w:name w:val="heading 2"/>
    <w:basedOn w:val="CorpoA"/>
    <w:next w:val="Normale"/>
    <w:link w:val="Titolo2Carattere"/>
    <w:uiPriority w:val="9"/>
    <w:unhideWhenUsed/>
    <w:qFormat/>
    <w:rsid w:val="00503723"/>
    <w:pPr>
      <w:spacing w:after="0" w:line="240" w:lineRule="auto"/>
      <w:ind w:hanging="11"/>
      <w:jc w:val="center"/>
      <w:outlineLvl w:val="1"/>
    </w:pPr>
    <w:rPr>
      <w:rFonts w:asciiTheme="majorHAnsi" w:hAnsiTheme="majorHAnsi" w:cstheme="majorHAnsi"/>
    </w:rPr>
  </w:style>
  <w:style w:type="paragraph" w:styleId="Titolo3">
    <w:name w:val="heading 3"/>
    <w:basedOn w:val="Normale"/>
    <w:next w:val="Normale"/>
    <w:link w:val="Titolo3Carattere"/>
    <w:uiPriority w:val="9"/>
    <w:semiHidden/>
    <w:unhideWhenUsed/>
    <w:qFormat/>
    <w:rsid w:val="005732EE"/>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0F2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44A40"/>
    <w:rPr>
      <w:u w:val="single"/>
    </w:rPr>
  </w:style>
  <w:style w:type="table" w:customStyle="1" w:styleId="TableNormal1">
    <w:name w:val="Table Normal1"/>
    <w:rsid w:val="00344A40"/>
    <w:tblPr>
      <w:tblInd w:w="0" w:type="dxa"/>
      <w:tblCellMar>
        <w:top w:w="0" w:type="dxa"/>
        <w:left w:w="0" w:type="dxa"/>
        <w:bottom w:w="0" w:type="dxa"/>
        <w:right w:w="0" w:type="dxa"/>
      </w:tblCellMar>
    </w:tblPr>
  </w:style>
  <w:style w:type="paragraph" w:styleId="Intestazione">
    <w:name w:val="header"/>
    <w:rsid w:val="00344A40"/>
    <w:pPr>
      <w:keepNext/>
      <w:keepLines/>
      <w:spacing w:after="96" w:line="248" w:lineRule="auto"/>
      <w:ind w:left="16" w:hanging="10"/>
      <w:jc w:val="center"/>
      <w:outlineLvl w:val="0"/>
    </w:pPr>
    <w:rPr>
      <w:rFonts w:ascii="Garamond" w:hAnsi="Garamond" w:cs="Arial Unicode MS"/>
      <w:i/>
      <w:iCs/>
      <w:color w:val="000000"/>
      <w:sz w:val="24"/>
      <w:szCs w:val="24"/>
      <w:u w:color="000000"/>
    </w:rPr>
  </w:style>
  <w:style w:type="character" w:customStyle="1" w:styleId="Nessuno">
    <w:name w:val="Nessuno"/>
    <w:rsid w:val="00344A40"/>
    <w:rPr>
      <w:lang w:val="it-IT"/>
    </w:rPr>
  </w:style>
  <w:style w:type="paragraph" w:customStyle="1" w:styleId="CorpoA">
    <w:name w:val="Corpo A"/>
    <w:uiPriority w:val="99"/>
    <w:rsid w:val="00344A40"/>
    <w:pPr>
      <w:spacing w:after="109" w:line="248" w:lineRule="auto"/>
      <w:ind w:left="22" w:hanging="10"/>
      <w:jc w:val="both"/>
    </w:pPr>
    <w:rPr>
      <w:rFonts w:ascii="Garamond" w:hAnsi="Garamond" w:cs="Arial Unicode MS"/>
      <w:color w:val="000000"/>
      <w:sz w:val="24"/>
      <w:szCs w:val="24"/>
      <w:u w:color="000000"/>
    </w:rPr>
  </w:style>
  <w:style w:type="paragraph" w:customStyle="1" w:styleId="Intestazioneepidipagina">
    <w:name w:val="Intestazione e piè di pagina"/>
    <w:rsid w:val="00344A40"/>
    <w:pPr>
      <w:tabs>
        <w:tab w:val="right" w:pos="9020"/>
      </w:tabs>
    </w:pPr>
    <w:rPr>
      <w:rFonts w:eastAsia="Times New Roman"/>
      <w:color w:val="000000"/>
      <w:sz w:val="30"/>
      <w:szCs w:val="30"/>
    </w:rPr>
  </w:style>
  <w:style w:type="paragraph" w:customStyle="1" w:styleId="Corpo">
    <w:name w:val="Corpo"/>
    <w:rsid w:val="00344A40"/>
    <w:rPr>
      <w:rFonts w:eastAsia="Times New Roman"/>
      <w:color w:val="000000"/>
      <w:sz w:val="24"/>
      <w:szCs w:val="24"/>
      <w:u w:color="000000"/>
    </w:rPr>
  </w:style>
  <w:style w:type="paragraph" w:styleId="Paragrafoelenco">
    <w:name w:val="List Paragraph"/>
    <w:basedOn w:val="Normale"/>
    <w:uiPriority w:val="34"/>
    <w:qFormat/>
    <w:rsid w:val="00D43961"/>
    <w:pPr>
      <w:ind w:left="720"/>
      <w:contextualSpacing/>
    </w:pPr>
  </w:style>
  <w:style w:type="character" w:styleId="Rimandocommento">
    <w:name w:val="annotation reference"/>
    <w:basedOn w:val="Carpredefinitoparagrafo"/>
    <w:uiPriority w:val="99"/>
    <w:semiHidden/>
    <w:unhideWhenUsed/>
    <w:rsid w:val="00D05B89"/>
    <w:rPr>
      <w:sz w:val="16"/>
      <w:szCs w:val="16"/>
    </w:rPr>
  </w:style>
  <w:style w:type="paragraph" w:styleId="Testocommento">
    <w:name w:val="annotation text"/>
    <w:basedOn w:val="Normale"/>
    <w:link w:val="TestocommentoCarattere"/>
    <w:uiPriority w:val="99"/>
    <w:unhideWhenUsed/>
    <w:rsid w:val="00D05B89"/>
    <w:rPr>
      <w:sz w:val="20"/>
      <w:szCs w:val="20"/>
    </w:rPr>
  </w:style>
  <w:style w:type="character" w:customStyle="1" w:styleId="TestocommentoCarattere">
    <w:name w:val="Testo commento Carattere"/>
    <w:basedOn w:val="Carpredefinitoparagrafo"/>
    <w:link w:val="Testocommento"/>
    <w:uiPriority w:val="99"/>
    <w:rsid w:val="00D05B89"/>
    <w:rPr>
      <w:lang w:val="en-US" w:eastAsia="en-US"/>
    </w:rPr>
  </w:style>
  <w:style w:type="paragraph" w:styleId="Soggettocommento">
    <w:name w:val="annotation subject"/>
    <w:basedOn w:val="Testocommento"/>
    <w:next w:val="Testocommento"/>
    <w:link w:val="SoggettocommentoCarattere"/>
    <w:uiPriority w:val="99"/>
    <w:semiHidden/>
    <w:unhideWhenUsed/>
    <w:rsid w:val="00D05B89"/>
    <w:rPr>
      <w:b/>
      <w:bCs/>
    </w:rPr>
  </w:style>
  <w:style w:type="character" w:customStyle="1" w:styleId="SoggettocommentoCarattere">
    <w:name w:val="Soggetto commento Carattere"/>
    <w:basedOn w:val="TestocommentoCarattere"/>
    <w:link w:val="Soggettocommento"/>
    <w:uiPriority w:val="99"/>
    <w:semiHidden/>
    <w:rsid w:val="00D05B89"/>
    <w:rPr>
      <w:b/>
      <w:bCs/>
      <w:lang w:val="en-US" w:eastAsia="en-US"/>
    </w:rPr>
  </w:style>
  <w:style w:type="paragraph" w:styleId="Testofumetto">
    <w:name w:val="Balloon Text"/>
    <w:basedOn w:val="Normale"/>
    <w:link w:val="TestofumettoCarattere"/>
    <w:uiPriority w:val="99"/>
    <w:semiHidden/>
    <w:unhideWhenUsed/>
    <w:rsid w:val="00D05B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B89"/>
    <w:rPr>
      <w:rFonts w:ascii="Tahoma" w:hAnsi="Tahoma" w:cs="Tahoma"/>
      <w:sz w:val="16"/>
      <w:szCs w:val="16"/>
      <w:lang w:val="en-US" w:eastAsia="en-US"/>
    </w:rPr>
  </w:style>
  <w:style w:type="paragraph" w:styleId="Pidipagina">
    <w:name w:val="footer"/>
    <w:basedOn w:val="Normale"/>
    <w:link w:val="PidipaginaCarattere"/>
    <w:uiPriority w:val="99"/>
    <w:unhideWhenUsed/>
    <w:rsid w:val="00CC7C7A"/>
    <w:pPr>
      <w:tabs>
        <w:tab w:val="center" w:pos="4819"/>
        <w:tab w:val="right" w:pos="9638"/>
      </w:tabs>
    </w:pPr>
  </w:style>
  <w:style w:type="character" w:customStyle="1" w:styleId="PidipaginaCarattere">
    <w:name w:val="Piè di pagina Carattere"/>
    <w:basedOn w:val="Carpredefinitoparagrafo"/>
    <w:link w:val="Pidipagina"/>
    <w:uiPriority w:val="99"/>
    <w:rsid w:val="00CC7C7A"/>
    <w:rPr>
      <w:sz w:val="24"/>
      <w:szCs w:val="24"/>
      <w:lang w:val="en-US" w:eastAsia="en-US"/>
    </w:rPr>
  </w:style>
  <w:style w:type="character" w:customStyle="1" w:styleId="Titolo1Carattere">
    <w:name w:val="Titolo 1 Carattere"/>
    <w:basedOn w:val="Carpredefinitoparagrafo"/>
    <w:link w:val="Titolo1"/>
    <w:uiPriority w:val="9"/>
    <w:rsid w:val="00503723"/>
    <w:rPr>
      <w:rFonts w:cs="Arial Unicode MS"/>
      <w:b/>
      <w:bCs/>
      <w:smallCaps/>
      <w:color w:val="000000"/>
      <w:sz w:val="24"/>
      <w:szCs w:val="24"/>
      <w:u w:color="000000"/>
    </w:rPr>
  </w:style>
  <w:style w:type="character" w:customStyle="1" w:styleId="Titolo2Carattere">
    <w:name w:val="Titolo 2 Carattere"/>
    <w:basedOn w:val="Carpredefinitoparagrafo"/>
    <w:link w:val="Titolo2"/>
    <w:uiPriority w:val="9"/>
    <w:rsid w:val="00503723"/>
    <w:rPr>
      <w:rFonts w:asciiTheme="majorHAnsi" w:hAnsiTheme="majorHAnsi" w:cstheme="majorHAnsi"/>
      <w:color w:val="000000"/>
      <w:sz w:val="24"/>
      <w:szCs w:val="24"/>
      <w:u w:color="000000"/>
    </w:rPr>
  </w:style>
  <w:style w:type="paragraph" w:styleId="Nessunaspaziatura">
    <w:name w:val="No Spacing"/>
    <w:uiPriority w:val="1"/>
    <w:qFormat/>
    <w:rsid w:val="00503723"/>
    <w:rPr>
      <w:sz w:val="24"/>
      <w:szCs w:val="24"/>
      <w:lang w:val="en-US" w:eastAsia="en-US"/>
    </w:rPr>
  </w:style>
  <w:style w:type="paragraph" w:styleId="Revisione">
    <w:name w:val="Revision"/>
    <w:hidden/>
    <w:uiPriority w:val="99"/>
    <w:semiHidden/>
    <w:rsid w:val="00E54F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stonotaapidipagina">
    <w:name w:val="footnote text"/>
    <w:basedOn w:val="Normale"/>
    <w:link w:val="TestonotaapidipaginaCarattere"/>
    <w:uiPriority w:val="99"/>
    <w:semiHidden/>
    <w:unhideWhenUsed/>
    <w:rsid w:val="004C4B90"/>
    <w:rPr>
      <w:sz w:val="20"/>
      <w:szCs w:val="20"/>
    </w:rPr>
  </w:style>
  <w:style w:type="character" w:customStyle="1" w:styleId="TestonotaapidipaginaCarattere">
    <w:name w:val="Testo nota a piè di pagina Carattere"/>
    <w:basedOn w:val="Carpredefinitoparagrafo"/>
    <w:link w:val="Testonotaapidipagina"/>
    <w:uiPriority w:val="99"/>
    <w:semiHidden/>
    <w:rsid w:val="004C4B90"/>
    <w:rPr>
      <w:lang w:val="en-US" w:eastAsia="en-US"/>
    </w:rPr>
  </w:style>
  <w:style w:type="character" w:styleId="Rimandonotaapidipagina">
    <w:name w:val="footnote reference"/>
    <w:basedOn w:val="Carpredefinitoparagrafo"/>
    <w:uiPriority w:val="99"/>
    <w:semiHidden/>
    <w:unhideWhenUsed/>
    <w:rsid w:val="004C4B90"/>
    <w:rPr>
      <w:vertAlign w:val="superscript"/>
    </w:rPr>
  </w:style>
  <w:style w:type="character" w:customStyle="1" w:styleId="Titolo3Carattere">
    <w:name w:val="Titolo 3 Carattere"/>
    <w:basedOn w:val="Carpredefinitoparagrafo"/>
    <w:link w:val="Titolo3"/>
    <w:uiPriority w:val="9"/>
    <w:semiHidden/>
    <w:rsid w:val="005732EE"/>
    <w:rPr>
      <w:rFonts w:asciiTheme="majorHAnsi" w:eastAsiaTheme="majorEastAsia" w:hAnsiTheme="majorHAnsi" w:cstheme="majorBidi"/>
      <w:color w:val="243F60" w:themeColor="accent1" w:themeShade="7F"/>
      <w:sz w:val="24"/>
      <w:szCs w:val="24"/>
      <w:lang w:val="en-US" w:eastAsia="en-US"/>
    </w:rPr>
  </w:style>
  <w:style w:type="paragraph" w:customStyle="1" w:styleId="Commento">
    <w:name w:val="Commento"/>
    <w:basedOn w:val="Normale"/>
    <w:link w:val="CommentoCarattere"/>
    <w:qFormat/>
    <w:rsid w:val="005C6889"/>
    <w:pPr>
      <w:pBdr>
        <w:top w:val="single" w:sz="12" w:space="5" w:color="31849B" w:themeColor="accent5" w:themeShade="BF"/>
        <w:left w:val="single" w:sz="12" w:space="5" w:color="31849B" w:themeColor="accent5" w:themeShade="BF"/>
        <w:bottom w:val="single" w:sz="12" w:space="5" w:color="31849B" w:themeColor="accent5" w:themeShade="BF"/>
        <w:right w:val="single" w:sz="12" w:space="5" w:color="31849B" w:themeColor="accent5" w:themeShade="BF"/>
        <w:between w:val="none" w:sz="0" w:space="0" w:color="auto"/>
        <w:bar w:val="none" w:sz="0" w:color="auto"/>
      </w:pBdr>
      <w:shd w:val="pct5" w:color="auto" w:fill="auto"/>
      <w:spacing w:before="60" w:after="60"/>
      <w:jc w:val="both"/>
    </w:pPr>
    <w:rPr>
      <w:rFonts w:ascii="Garamond" w:hAnsi="Garamond"/>
      <w:color w:val="404040" w:themeColor="text1" w:themeTint="BF"/>
      <w:sz w:val="25"/>
      <w:szCs w:val="25"/>
      <w:lang w:val="it-IT"/>
    </w:rPr>
  </w:style>
  <w:style w:type="character" w:customStyle="1" w:styleId="CommentoCarattere">
    <w:name w:val="Commento Carattere"/>
    <w:basedOn w:val="Carpredefinitoparagrafo"/>
    <w:link w:val="Commento"/>
    <w:rsid w:val="005C6889"/>
    <w:rPr>
      <w:rFonts w:ascii="Garamond" w:hAnsi="Garamond"/>
      <w:color w:val="404040" w:themeColor="text1" w:themeTint="BF"/>
      <w:sz w:val="25"/>
      <w:szCs w:val="25"/>
      <w:shd w:val="pct5" w:color="auto" w:fill="auto"/>
      <w:lang w:eastAsia="en-US"/>
    </w:rPr>
  </w:style>
  <w:style w:type="paragraph" w:customStyle="1" w:styleId="CommentoDifesa">
    <w:name w:val="CommentoDifesa"/>
    <w:basedOn w:val="Commento"/>
    <w:link w:val="CommentoDifesaCarattere"/>
    <w:qFormat/>
    <w:rsid w:val="00C16381"/>
    <w:pPr>
      <w:numPr>
        <w:numId w:val="1"/>
      </w:numPr>
      <w:pBdr>
        <w:top w:val="single" w:sz="12" w:space="5" w:color="FF0000"/>
        <w:left w:val="single" w:sz="12" w:space="5" w:color="FF0000"/>
        <w:bottom w:val="single" w:sz="12" w:space="5" w:color="FF0000"/>
        <w:right w:val="single" w:sz="12" w:space="5" w:color="FF0000"/>
      </w:pBdr>
    </w:pPr>
  </w:style>
  <w:style w:type="character" w:customStyle="1" w:styleId="CommentoDifesaCarattere">
    <w:name w:val="CommentoDifesa Carattere"/>
    <w:basedOn w:val="CommentoCarattere"/>
    <w:link w:val="CommentoDifesa"/>
    <w:rsid w:val="00C16381"/>
    <w:rPr>
      <w:rFonts w:ascii="Garamond" w:hAnsi="Garamond"/>
      <w:color w:val="404040" w:themeColor="text1" w:themeTint="BF"/>
      <w:sz w:val="25"/>
      <w:szCs w:val="25"/>
      <w:shd w:val="pct5" w:color="auto" w:fill="auto"/>
      <w:lang w:eastAsia="en-US"/>
    </w:rPr>
  </w:style>
  <w:style w:type="paragraph" w:customStyle="1" w:styleId="pf0">
    <w:name w:val="pf0"/>
    <w:basedOn w:val="Normale"/>
    <w:rsid w:val="00C163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cf01">
    <w:name w:val="cf01"/>
    <w:basedOn w:val="Carpredefinitoparagrafo"/>
    <w:rsid w:val="00C16381"/>
    <w:rPr>
      <w:rFonts w:ascii="Segoe UI" w:hAnsi="Segoe UI" w:cs="Segoe UI" w:hint="default"/>
      <w:sz w:val="18"/>
      <w:szCs w:val="18"/>
      <w:shd w:val="clear" w:color="auto" w:fill="FFFF00"/>
    </w:rPr>
  </w:style>
  <w:style w:type="character" w:customStyle="1" w:styleId="cf21">
    <w:name w:val="cf21"/>
    <w:basedOn w:val="Carpredefinitoparagrafo"/>
    <w:rsid w:val="00C16381"/>
    <w:rPr>
      <w:rFonts w:ascii="Segoe UI" w:hAnsi="Segoe UI" w:cs="Segoe UI" w:hint="default"/>
      <w:sz w:val="18"/>
      <w:szCs w:val="18"/>
    </w:rPr>
  </w:style>
  <w:style w:type="table" w:styleId="Grigliatabella">
    <w:name w:val="Table Grid"/>
    <w:basedOn w:val="Tabellanormale"/>
    <w:uiPriority w:val="39"/>
    <w:rsid w:val="00012E2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BD7A34"/>
    <w:rPr>
      <w:color w:val="605E5C"/>
      <w:shd w:val="clear" w:color="auto" w:fill="E1DFDD"/>
    </w:rPr>
  </w:style>
  <w:style w:type="character" w:styleId="Menzionenonrisolta">
    <w:name w:val="Unresolved Mention"/>
    <w:basedOn w:val="Carpredefinitoparagrafo"/>
    <w:uiPriority w:val="99"/>
    <w:semiHidden/>
    <w:unhideWhenUsed/>
    <w:rsid w:val="00BC5A89"/>
    <w:rPr>
      <w:color w:val="605E5C"/>
      <w:shd w:val="clear" w:color="auto" w:fill="E1DFDD"/>
    </w:rPr>
  </w:style>
  <w:style w:type="paragraph" w:customStyle="1" w:styleId="paragraph">
    <w:name w:val="paragraph"/>
    <w:basedOn w:val="Normale"/>
    <w:rsid w:val="00B676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normaltextrun">
    <w:name w:val="normaltextrun"/>
    <w:basedOn w:val="Carpredefinitoparagrafo"/>
    <w:rsid w:val="00B6765E"/>
  </w:style>
  <w:style w:type="character" w:customStyle="1" w:styleId="Titolo4Carattere">
    <w:name w:val="Titolo 4 Carattere"/>
    <w:basedOn w:val="Carpredefinitoparagrafo"/>
    <w:link w:val="Titolo4"/>
    <w:uiPriority w:val="9"/>
    <w:semiHidden/>
    <w:rsid w:val="000F27F5"/>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314">
      <w:bodyDiv w:val="1"/>
      <w:marLeft w:val="0"/>
      <w:marRight w:val="0"/>
      <w:marTop w:val="0"/>
      <w:marBottom w:val="0"/>
      <w:divBdr>
        <w:top w:val="none" w:sz="0" w:space="0" w:color="auto"/>
        <w:left w:val="none" w:sz="0" w:space="0" w:color="auto"/>
        <w:bottom w:val="none" w:sz="0" w:space="0" w:color="auto"/>
        <w:right w:val="none" w:sz="0" w:space="0" w:color="auto"/>
      </w:divBdr>
    </w:div>
    <w:div w:id="72364460">
      <w:bodyDiv w:val="1"/>
      <w:marLeft w:val="0"/>
      <w:marRight w:val="0"/>
      <w:marTop w:val="0"/>
      <w:marBottom w:val="0"/>
      <w:divBdr>
        <w:top w:val="none" w:sz="0" w:space="0" w:color="auto"/>
        <w:left w:val="none" w:sz="0" w:space="0" w:color="auto"/>
        <w:bottom w:val="none" w:sz="0" w:space="0" w:color="auto"/>
        <w:right w:val="none" w:sz="0" w:space="0" w:color="auto"/>
      </w:divBdr>
    </w:div>
    <w:div w:id="134836961">
      <w:bodyDiv w:val="1"/>
      <w:marLeft w:val="0"/>
      <w:marRight w:val="0"/>
      <w:marTop w:val="0"/>
      <w:marBottom w:val="0"/>
      <w:divBdr>
        <w:top w:val="none" w:sz="0" w:space="0" w:color="auto"/>
        <w:left w:val="none" w:sz="0" w:space="0" w:color="auto"/>
        <w:bottom w:val="none" w:sz="0" w:space="0" w:color="auto"/>
        <w:right w:val="none" w:sz="0" w:space="0" w:color="auto"/>
      </w:divBdr>
    </w:div>
    <w:div w:id="292754150">
      <w:bodyDiv w:val="1"/>
      <w:marLeft w:val="0"/>
      <w:marRight w:val="0"/>
      <w:marTop w:val="0"/>
      <w:marBottom w:val="0"/>
      <w:divBdr>
        <w:top w:val="none" w:sz="0" w:space="0" w:color="auto"/>
        <w:left w:val="none" w:sz="0" w:space="0" w:color="auto"/>
        <w:bottom w:val="none" w:sz="0" w:space="0" w:color="auto"/>
        <w:right w:val="none" w:sz="0" w:space="0" w:color="auto"/>
      </w:divBdr>
    </w:div>
    <w:div w:id="298340633">
      <w:bodyDiv w:val="1"/>
      <w:marLeft w:val="0"/>
      <w:marRight w:val="0"/>
      <w:marTop w:val="0"/>
      <w:marBottom w:val="0"/>
      <w:divBdr>
        <w:top w:val="none" w:sz="0" w:space="0" w:color="auto"/>
        <w:left w:val="none" w:sz="0" w:space="0" w:color="auto"/>
        <w:bottom w:val="none" w:sz="0" w:space="0" w:color="auto"/>
        <w:right w:val="none" w:sz="0" w:space="0" w:color="auto"/>
      </w:divBdr>
    </w:div>
    <w:div w:id="312101725">
      <w:bodyDiv w:val="1"/>
      <w:marLeft w:val="0"/>
      <w:marRight w:val="0"/>
      <w:marTop w:val="0"/>
      <w:marBottom w:val="0"/>
      <w:divBdr>
        <w:top w:val="none" w:sz="0" w:space="0" w:color="auto"/>
        <w:left w:val="none" w:sz="0" w:space="0" w:color="auto"/>
        <w:bottom w:val="none" w:sz="0" w:space="0" w:color="auto"/>
        <w:right w:val="none" w:sz="0" w:space="0" w:color="auto"/>
      </w:divBdr>
    </w:div>
    <w:div w:id="429857882">
      <w:bodyDiv w:val="1"/>
      <w:marLeft w:val="0"/>
      <w:marRight w:val="0"/>
      <w:marTop w:val="0"/>
      <w:marBottom w:val="0"/>
      <w:divBdr>
        <w:top w:val="none" w:sz="0" w:space="0" w:color="auto"/>
        <w:left w:val="none" w:sz="0" w:space="0" w:color="auto"/>
        <w:bottom w:val="none" w:sz="0" w:space="0" w:color="auto"/>
        <w:right w:val="none" w:sz="0" w:space="0" w:color="auto"/>
      </w:divBdr>
    </w:div>
    <w:div w:id="521823995">
      <w:bodyDiv w:val="1"/>
      <w:marLeft w:val="0"/>
      <w:marRight w:val="0"/>
      <w:marTop w:val="0"/>
      <w:marBottom w:val="0"/>
      <w:divBdr>
        <w:top w:val="none" w:sz="0" w:space="0" w:color="auto"/>
        <w:left w:val="none" w:sz="0" w:space="0" w:color="auto"/>
        <w:bottom w:val="none" w:sz="0" w:space="0" w:color="auto"/>
        <w:right w:val="none" w:sz="0" w:space="0" w:color="auto"/>
      </w:divBdr>
    </w:div>
    <w:div w:id="545872335">
      <w:bodyDiv w:val="1"/>
      <w:marLeft w:val="0"/>
      <w:marRight w:val="0"/>
      <w:marTop w:val="0"/>
      <w:marBottom w:val="0"/>
      <w:divBdr>
        <w:top w:val="none" w:sz="0" w:space="0" w:color="auto"/>
        <w:left w:val="none" w:sz="0" w:space="0" w:color="auto"/>
        <w:bottom w:val="none" w:sz="0" w:space="0" w:color="auto"/>
        <w:right w:val="none" w:sz="0" w:space="0" w:color="auto"/>
      </w:divBdr>
    </w:div>
    <w:div w:id="578448826">
      <w:bodyDiv w:val="1"/>
      <w:marLeft w:val="0"/>
      <w:marRight w:val="0"/>
      <w:marTop w:val="0"/>
      <w:marBottom w:val="0"/>
      <w:divBdr>
        <w:top w:val="none" w:sz="0" w:space="0" w:color="auto"/>
        <w:left w:val="none" w:sz="0" w:space="0" w:color="auto"/>
        <w:bottom w:val="none" w:sz="0" w:space="0" w:color="auto"/>
        <w:right w:val="none" w:sz="0" w:space="0" w:color="auto"/>
      </w:divBdr>
    </w:div>
    <w:div w:id="594705903">
      <w:bodyDiv w:val="1"/>
      <w:marLeft w:val="0"/>
      <w:marRight w:val="0"/>
      <w:marTop w:val="0"/>
      <w:marBottom w:val="0"/>
      <w:divBdr>
        <w:top w:val="none" w:sz="0" w:space="0" w:color="auto"/>
        <w:left w:val="none" w:sz="0" w:space="0" w:color="auto"/>
        <w:bottom w:val="none" w:sz="0" w:space="0" w:color="auto"/>
        <w:right w:val="none" w:sz="0" w:space="0" w:color="auto"/>
      </w:divBdr>
      <w:divsChild>
        <w:div w:id="47731296">
          <w:marLeft w:val="0"/>
          <w:marRight w:val="0"/>
          <w:marTop w:val="0"/>
          <w:marBottom w:val="0"/>
          <w:divBdr>
            <w:top w:val="none" w:sz="0" w:space="0" w:color="auto"/>
            <w:left w:val="none" w:sz="0" w:space="0" w:color="auto"/>
            <w:bottom w:val="none" w:sz="0" w:space="0" w:color="auto"/>
            <w:right w:val="none" w:sz="0" w:space="0" w:color="auto"/>
          </w:divBdr>
        </w:div>
        <w:div w:id="83381971">
          <w:marLeft w:val="0"/>
          <w:marRight w:val="0"/>
          <w:marTop w:val="0"/>
          <w:marBottom w:val="0"/>
          <w:divBdr>
            <w:top w:val="none" w:sz="0" w:space="0" w:color="auto"/>
            <w:left w:val="none" w:sz="0" w:space="0" w:color="auto"/>
            <w:bottom w:val="none" w:sz="0" w:space="0" w:color="auto"/>
            <w:right w:val="none" w:sz="0" w:space="0" w:color="auto"/>
          </w:divBdr>
        </w:div>
        <w:div w:id="261912342">
          <w:marLeft w:val="0"/>
          <w:marRight w:val="0"/>
          <w:marTop w:val="0"/>
          <w:marBottom w:val="0"/>
          <w:divBdr>
            <w:top w:val="none" w:sz="0" w:space="0" w:color="auto"/>
            <w:left w:val="none" w:sz="0" w:space="0" w:color="auto"/>
            <w:bottom w:val="none" w:sz="0" w:space="0" w:color="auto"/>
            <w:right w:val="none" w:sz="0" w:space="0" w:color="auto"/>
          </w:divBdr>
        </w:div>
        <w:div w:id="401952998">
          <w:marLeft w:val="0"/>
          <w:marRight w:val="0"/>
          <w:marTop w:val="0"/>
          <w:marBottom w:val="0"/>
          <w:divBdr>
            <w:top w:val="none" w:sz="0" w:space="0" w:color="auto"/>
            <w:left w:val="none" w:sz="0" w:space="0" w:color="auto"/>
            <w:bottom w:val="none" w:sz="0" w:space="0" w:color="auto"/>
            <w:right w:val="none" w:sz="0" w:space="0" w:color="auto"/>
          </w:divBdr>
        </w:div>
        <w:div w:id="685253144">
          <w:marLeft w:val="0"/>
          <w:marRight w:val="0"/>
          <w:marTop w:val="0"/>
          <w:marBottom w:val="0"/>
          <w:divBdr>
            <w:top w:val="none" w:sz="0" w:space="0" w:color="auto"/>
            <w:left w:val="none" w:sz="0" w:space="0" w:color="auto"/>
            <w:bottom w:val="none" w:sz="0" w:space="0" w:color="auto"/>
            <w:right w:val="none" w:sz="0" w:space="0" w:color="auto"/>
          </w:divBdr>
        </w:div>
        <w:div w:id="738282559">
          <w:marLeft w:val="0"/>
          <w:marRight w:val="0"/>
          <w:marTop w:val="0"/>
          <w:marBottom w:val="0"/>
          <w:divBdr>
            <w:top w:val="none" w:sz="0" w:space="0" w:color="auto"/>
            <w:left w:val="none" w:sz="0" w:space="0" w:color="auto"/>
            <w:bottom w:val="none" w:sz="0" w:space="0" w:color="auto"/>
            <w:right w:val="none" w:sz="0" w:space="0" w:color="auto"/>
          </w:divBdr>
        </w:div>
        <w:div w:id="780341585">
          <w:marLeft w:val="0"/>
          <w:marRight w:val="0"/>
          <w:marTop w:val="0"/>
          <w:marBottom w:val="0"/>
          <w:divBdr>
            <w:top w:val="none" w:sz="0" w:space="0" w:color="auto"/>
            <w:left w:val="none" w:sz="0" w:space="0" w:color="auto"/>
            <w:bottom w:val="none" w:sz="0" w:space="0" w:color="auto"/>
            <w:right w:val="none" w:sz="0" w:space="0" w:color="auto"/>
          </w:divBdr>
        </w:div>
        <w:div w:id="839463154">
          <w:marLeft w:val="0"/>
          <w:marRight w:val="0"/>
          <w:marTop w:val="0"/>
          <w:marBottom w:val="0"/>
          <w:divBdr>
            <w:top w:val="none" w:sz="0" w:space="0" w:color="auto"/>
            <w:left w:val="none" w:sz="0" w:space="0" w:color="auto"/>
            <w:bottom w:val="none" w:sz="0" w:space="0" w:color="auto"/>
            <w:right w:val="none" w:sz="0" w:space="0" w:color="auto"/>
          </w:divBdr>
        </w:div>
        <w:div w:id="996149605">
          <w:marLeft w:val="0"/>
          <w:marRight w:val="0"/>
          <w:marTop w:val="0"/>
          <w:marBottom w:val="0"/>
          <w:divBdr>
            <w:top w:val="none" w:sz="0" w:space="0" w:color="auto"/>
            <w:left w:val="none" w:sz="0" w:space="0" w:color="auto"/>
            <w:bottom w:val="none" w:sz="0" w:space="0" w:color="auto"/>
            <w:right w:val="none" w:sz="0" w:space="0" w:color="auto"/>
          </w:divBdr>
        </w:div>
        <w:div w:id="1342507109">
          <w:marLeft w:val="0"/>
          <w:marRight w:val="0"/>
          <w:marTop w:val="0"/>
          <w:marBottom w:val="0"/>
          <w:divBdr>
            <w:top w:val="none" w:sz="0" w:space="0" w:color="auto"/>
            <w:left w:val="none" w:sz="0" w:space="0" w:color="auto"/>
            <w:bottom w:val="none" w:sz="0" w:space="0" w:color="auto"/>
            <w:right w:val="none" w:sz="0" w:space="0" w:color="auto"/>
          </w:divBdr>
        </w:div>
        <w:div w:id="1350647014">
          <w:marLeft w:val="0"/>
          <w:marRight w:val="0"/>
          <w:marTop w:val="0"/>
          <w:marBottom w:val="0"/>
          <w:divBdr>
            <w:top w:val="none" w:sz="0" w:space="0" w:color="auto"/>
            <w:left w:val="none" w:sz="0" w:space="0" w:color="auto"/>
            <w:bottom w:val="none" w:sz="0" w:space="0" w:color="auto"/>
            <w:right w:val="none" w:sz="0" w:space="0" w:color="auto"/>
          </w:divBdr>
        </w:div>
        <w:div w:id="1422025266">
          <w:marLeft w:val="0"/>
          <w:marRight w:val="0"/>
          <w:marTop w:val="0"/>
          <w:marBottom w:val="0"/>
          <w:divBdr>
            <w:top w:val="none" w:sz="0" w:space="0" w:color="auto"/>
            <w:left w:val="none" w:sz="0" w:space="0" w:color="auto"/>
            <w:bottom w:val="none" w:sz="0" w:space="0" w:color="auto"/>
            <w:right w:val="none" w:sz="0" w:space="0" w:color="auto"/>
          </w:divBdr>
        </w:div>
        <w:div w:id="1554853995">
          <w:marLeft w:val="0"/>
          <w:marRight w:val="0"/>
          <w:marTop w:val="0"/>
          <w:marBottom w:val="0"/>
          <w:divBdr>
            <w:top w:val="none" w:sz="0" w:space="0" w:color="auto"/>
            <w:left w:val="none" w:sz="0" w:space="0" w:color="auto"/>
            <w:bottom w:val="none" w:sz="0" w:space="0" w:color="auto"/>
            <w:right w:val="none" w:sz="0" w:space="0" w:color="auto"/>
          </w:divBdr>
        </w:div>
        <w:div w:id="1779135077">
          <w:marLeft w:val="0"/>
          <w:marRight w:val="0"/>
          <w:marTop w:val="0"/>
          <w:marBottom w:val="0"/>
          <w:divBdr>
            <w:top w:val="none" w:sz="0" w:space="0" w:color="auto"/>
            <w:left w:val="none" w:sz="0" w:space="0" w:color="auto"/>
            <w:bottom w:val="none" w:sz="0" w:space="0" w:color="auto"/>
            <w:right w:val="none" w:sz="0" w:space="0" w:color="auto"/>
          </w:divBdr>
        </w:div>
        <w:div w:id="1909723743">
          <w:marLeft w:val="0"/>
          <w:marRight w:val="0"/>
          <w:marTop w:val="0"/>
          <w:marBottom w:val="0"/>
          <w:divBdr>
            <w:top w:val="none" w:sz="0" w:space="0" w:color="auto"/>
            <w:left w:val="none" w:sz="0" w:space="0" w:color="auto"/>
            <w:bottom w:val="none" w:sz="0" w:space="0" w:color="auto"/>
            <w:right w:val="none" w:sz="0" w:space="0" w:color="auto"/>
          </w:divBdr>
        </w:div>
        <w:div w:id="2126072028">
          <w:marLeft w:val="0"/>
          <w:marRight w:val="0"/>
          <w:marTop w:val="0"/>
          <w:marBottom w:val="0"/>
          <w:divBdr>
            <w:top w:val="none" w:sz="0" w:space="0" w:color="auto"/>
            <w:left w:val="none" w:sz="0" w:space="0" w:color="auto"/>
            <w:bottom w:val="none" w:sz="0" w:space="0" w:color="auto"/>
            <w:right w:val="none" w:sz="0" w:space="0" w:color="auto"/>
          </w:divBdr>
        </w:div>
      </w:divsChild>
    </w:div>
    <w:div w:id="686642968">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79566248">
      <w:bodyDiv w:val="1"/>
      <w:marLeft w:val="0"/>
      <w:marRight w:val="0"/>
      <w:marTop w:val="0"/>
      <w:marBottom w:val="0"/>
      <w:divBdr>
        <w:top w:val="none" w:sz="0" w:space="0" w:color="auto"/>
        <w:left w:val="none" w:sz="0" w:space="0" w:color="auto"/>
        <w:bottom w:val="none" w:sz="0" w:space="0" w:color="auto"/>
        <w:right w:val="none" w:sz="0" w:space="0" w:color="auto"/>
      </w:divBdr>
    </w:div>
    <w:div w:id="822087146">
      <w:bodyDiv w:val="1"/>
      <w:marLeft w:val="0"/>
      <w:marRight w:val="0"/>
      <w:marTop w:val="0"/>
      <w:marBottom w:val="0"/>
      <w:divBdr>
        <w:top w:val="none" w:sz="0" w:space="0" w:color="auto"/>
        <w:left w:val="none" w:sz="0" w:space="0" w:color="auto"/>
        <w:bottom w:val="none" w:sz="0" w:space="0" w:color="auto"/>
        <w:right w:val="none" w:sz="0" w:space="0" w:color="auto"/>
      </w:divBdr>
    </w:div>
    <w:div w:id="853880302">
      <w:bodyDiv w:val="1"/>
      <w:marLeft w:val="0"/>
      <w:marRight w:val="0"/>
      <w:marTop w:val="0"/>
      <w:marBottom w:val="0"/>
      <w:divBdr>
        <w:top w:val="none" w:sz="0" w:space="0" w:color="auto"/>
        <w:left w:val="none" w:sz="0" w:space="0" w:color="auto"/>
        <w:bottom w:val="none" w:sz="0" w:space="0" w:color="auto"/>
        <w:right w:val="none" w:sz="0" w:space="0" w:color="auto"/>
      </w:divBdr>
    </w:div>
    <w:div w:id="863592311">
      <w:bodyDiv w:val="1"/>
      <w:marLeft w:val="0"/>
      <w:marRight w:val="0"/>
      <w:marTop w:val="0"/>
      <w:marBottom w:val="0"/>
      <w:divBdr>
        <w:top w:val="none" w:sz="0" w:space="0" w:color="auto"/>
        <w:left w:val="none" w:sz="0" w:space="0" w:color="auto"/>
        <w:bottom w:val="none" w:sz="0" w:space="0" w:color="auto"/>
        <w:right w:val="none" w:sz="0" w:space="0" w:color="auto"/>
      </w:divBdr>
    </w:div>
    <w:div w:id="913930770">
      <w:bodyDiv w:val="1"/>
      <w:marLeft w:val="0"/>
      <w:marRight w:val="0"/>
      <w:marTop w:val="0"/>
      <w:marBottom w:val="0"/>
      <w:divBdr>
        <w:top w:val="none" w:sz="0" w:space="0" w:color="auto"/>
        <w:left w:val="none" w:sz="0" w:space="0" w:color="auto"/>
        <w:bottom w:val="none" w:sz="0" w:space="0" w:color="auto"/>
        <w:right w:val="none" w:sz="0" w:space="0" w:color="auto"/>
      </w:divBdr>
    </w:div>
    <w:div w:id="942801917">
      <w:bodyDiv w:val="1"/>
      <w:marLeft w:val="0"/>
      <w:marRight w:val="0"/>
      <w:marTop w:val="0"/>
      <w:marBottom w:val="0"/>
      <w:divBdr>
        <w:top w:val="none" w:sz="0" w:space="0" w:color="auto"/>
        <w:left w:val="none" w:sz="0" w:space="0" w:color="auto"/>
        <w:bottom w:val="none" w:sz="0" w:space="0" w:color="auto"/>
        <w:right w:val="none" w:sz="0" w:space="0" w:color="auto"/>
      </w:divBdr>
    </w:div>
    <w:div w:id="999583021">
      <w:bodyDiv w:val="1"/>
      <w:marLeft w:val="0"/>
      <w:marRight w:val="0"/>
      <w:marTop w:val="0"/>
      <w:marBottom w:val="0"/>
      <w:divBdr>
        <w:top w:val="none" w:sz="0" w:space="0" w:color="auto"/>
        <w:left w:val="none" w:sz="0" w:space="0" w:color="auto"/>
        <w:bottom w:val="none" w:sz="0" w:space="0" w:color="auto"/>
        <w:right w:val="none" w:sz="0" w:space="0" w:color="auto"/>
      </w:divBdr>
    </w:div>
    <w:div w:id="1036387434">
      <w:bodyDiv w:val="1"/>
      <w:marLeft w:val="0"/>
      <w:marRight w:val="0"/>
      <w:marTop w:val="0"/>
      <w:marBottom w:val="0"/>
      <w:divBdr>
        <w:top w:val="none" w:sz="0" w:space="0" w:color="auto"/>
        <w:left w:val="none" w:sz="0" w:space="0" w:color="auto"/>
        <w:bottom w:val="none" w:sz="0" w:space="0" w:color="auto"/>
        <w:right w:val="none" w:sz="0" w:space="0" w:color="auto"/>
      </w:divBdr>
    </w:div>
    <w:div w:id="1044869436">
      <w:bodyDiv w:val="1"/>
      <w:marLeft w:val="0"/>
      <w:marRight w:val="0"/>
      <w:marTop w:val="0"/>
      <w:marBottom w:val="0"/>
      <w:divBdr>
        <w:top w:val="none" w:sz="0" w:space="0" w:color="auto"/>
        <w:left w:val="none" w:sz="0" w:space="0" w:color="auto"/>
        <w:bottom w:val="none" w:sz="0" w:space="0" w:color="auto"/>
        <w:right w:val="none" w:sz="0" w:space="0" w:color="auto"/>
      </w:divBdr>
      <w:divsChild>
        <w:div w:id="129640282">
          <w:marLeft w:val="0"/>
          <w:marRight w:val="0"/>
          <w:marTop w:val="0"/>
          <w:marBottom w:val="0"/>
          <w:divBdr>
            <w:top w:val="none" w:sz="0" w:space="0" w:color="auto"/>
            <w:left w:val="none" w:sz="0" w:space="0" w:color="auto"/>
            <w:bottom w:val="none" w:sz="0" w:space="0" w:color="auto"/>
            <w:right w:val="none" w:sz="0" w:space="0" w:color="auto"/>
          </w:divBdr>
        </w:div>
        <w:div w:id="138771396">
          <w:marLeft w:val="0"/>
          <w:marRight w:val="0"/>
          <w:marTop w:val="0"/>
          <w:marBottom w:val="0"/>
          <w:divBdr>
            <w:top w:val="none" w:sz="0" w:space="0" w:color="auto"/>
            <w:left w:val="none" w:sz="0" w:space="0" w:color="auto"/>
            <w:bottom w:val="none" w:sz="0" w:space="0" w:color="auto"/>
            <w:right w:val="none" w:sz="0" w:space="0" w:color="auto"/>
          </w:divBdr>
        </w:div>
        <w:div w:id="255406247">
          <w:marLeft w:val="0"/>
          <w:marRight w:val="0"/>
          <w:marTop w:val="0"/>
          <w:marBottom w:val="0"/>
          <w:divBdr>
            <w:top w:val="none" w:sz="0" w:space="0" w:color="auto"/>
            <w:left w:val="none" w:sz="0" w:space="0" w:color="auto"/>
            <w:bottom w:val="none" w:sz="0" w:space="0" w:color="auto"/>
            <w:right w:val="none" w:sz="0" w:space="0" w:color="auto"/>
          </w:divBdr>
        </w:div>
        <w:div w:id="270014582">
          <w:marLeft w:val="0"/>
          <w:marRight w:val="0"/>
          <w:marTop w:val="0"/>
          <w:marBottom w:val="0"/>
          <w:divBdr>
            <w:top w:val="none" w:sz="0" w:space="0" w:color="auto"/>
            <w:left w:val="none" w:sz="0" w:space="0" w:color="auto"/>
            <w:bottom w:val="none" w:sz="0" w:space="0" w:color="auto"/>
            <w:right w:val="none" w:sz="0" w:space="0" w:color="auto"/>
          </w:divBdr>
        </w:div>
        <w:div w:id="357394702">
          <w:marLeft w:val="0"/>
          <w:marRight w:val="0"/>
          <w:marTop w:val="0"/>
          <w:marBottom w:val="0"/>
          <w:divBdr>
            <w:top w:val="none" w:sz="0" w:space="0" w:color="auto"/>
            <w:left w:val="none" w:sz="0" w:space="0" w:color="auto"/>
            <w:bottom w:val="none" w:sz="0" w:space="0" w:color="auto"/>
            <w:right w:val="none" w:sz="0" w:space="0" w:color="auto"/>
          </w:divBdr>
        </w:div>
        <w:div w:id="357971984">
          <w:marLeft w:val="0"/>
          <w:marRight w:val="0"/>
          <w:marTop w:val="0"/>
          <w:marBottom w:val="0"/>
          <w:divBdr>
            <w:top w:val="none" w:sz="0" w:space="0" w:color="auto"/>
            <w:left w:val="none" w:sz="0" w:space="0" w:color="auto"/>
            <w:bottom w:val="none" w:sz="0" w:space="0" w:color="auto"/>
            <w:right w:val="none" w:sz="0" w:space="0" w:color="auto"/>
          </w:divBdr>
        </w:div>
        <w:div w:id="671570370">
          <w:marLeft w:val="0"/>
          <w:marRight w:val="0"/>
          <w:marTop w:val="0"/>
          <w:marBottom w:val="0"/>
          <w:divBdr>
            <w:top w:val="none" w:sz="0" w:space="0" w:color="auto"/>
            <w:left w:val="none" w:sz="0" w:space="0" w:color="auto"/>
            <w:bottom w:val="none" w:sz="0" w:space="0" w:color="auto"/>
            <w:right w:val="none" w:sz="0" w:space="0" w:color="auto"/>
          </w:divBdr>
        </w:div>
        <w:div w:id="701781328">
          <w:marLeft w:val="0"/>
          <w:marRight w:val="0"/>
          <w:marTop w:val="0"/>
          <w:marBottom w:val="0"/>
          <w:divBdr>
            <w:top w:val="none" w:sz="0" w:space="0" w:color="auto"/>
            <w:left w:val="none" w:sz="0" w:space="0" w:color="auto"/>
            <w:bottom w:val="none" w:sz="0" w:space="0" w:color="auto"/>
            <w:right w:val="none" w:sz="0" w:space="0" w:color="auto"/>
          </w:divBdr>
        </w:div>
        <w:div w:id="733744580">
          <w:marLeft w:val="0"/>
          <w:marRight w:val="0"/>
          <w:marTop w:val="0"/>
          <w:marBottom w:val="0"/>
          <w:divBdr>
            <w:top w:val="none" w:sz="0" w:space="0" w:color="auto"/>
            <w:left w:val="none" w:sz="0" w:space="0" w:color="auto"/>
            <w:bottom w:val="none" w:sz="0" w:space="0" w:color="auto"/>
            <w:right w:val="none" w:sz="0" w:space="0" w:color="auto"/>
          </w:divBdr>
        </w:div>
        <w:div w:id="875964751">
          <w:marLeft w:val="0"/>
          <w:marRight w:val="0"/>
          <w:marTop w:val="0"/>
          <w:marBottom w:val="0"/>
          <w:divBdr>
            <w:top w:val="none" w:sz="0" w:space="0" w:color="auto"/>
            <w:left w:val="none" w:sz="0" w:space="0" w:color="auto"/>
            <w:bottom w:val="none" w:sz="0" w:space="0" w:color="auto"/>
            <w:right w:val="none" w:sz="0" w:space="0" w:color="auto"/>
          </w:divBdr>
        </w:div>
        <w:div w:id="984818137">
          <w:marLeft w:val="0"/>
          <w:marRight w:val="0"/>
          <w:marTop w:val="0"/>
          <w:marBottom w:val="0"/>
          <w:divBdr>
            <w:top w:val="none" w:sz="0" w:space="0" w:color="auto"/>
            <w:left w:val="none" w:sz="0" w:space="0" w:color="auto"/>
            <w:bottom w:val="none" w:sz="0" w:space="0" w:color="auto"/>
            <w:right w:val="none" w:sz="0" w:space="0" w:color="auto"/>
          </w:divBdr>
        </w:div>
        <w:div w:id="1104425395">
          <w:marLeft w:val="0"/>
          <w:marRight w:val="0"/>
          <w:marTop w:val="0"/>
          <w:marBottom w:val="0"/>
          <w:divBdr>
            <w:top w:val="none" w:sz="0" w:space="0" w:color="auto"/>
            <w:left w:val="none" w:sz="0" w:space="0" w:color="auto"/>
            <w:bottom w:val="none" w:sz="0" w:space="0" w:color="auto"/>
            <w:right w:val="none" w:sz="0" w:space="0" w:color="auto"/>
          </w:divBdr>
        </w:div>
        <w:div w:id="1151170348">
          <w:marLeft w:val="0"/>
          <w:marRight w:val="0"/>
          <w:marTop w:val="0"/>
          <w:marBottom w:val="0"/>
          <w:divBdr>
            <w:top w:val="none" w:sz="0" w:space="0" w:color="auto"/>
            <w:left w:val="none" w:sz="0" w:space="0" w:color="auto"/>
            <w:bottom w:val="none" w:sz="0" w:space="0" w:color="auto"/>
            <w:right w:val="none" w:sz="0" w:space="0" w:color="auto"/>
          </w:divBdr>
        </w:div>
        <w:div w:id="1342121213">
          <w:marLeft w:val="0"/>
          <w:marRight w:val="0"/>
          <w:marTop w:val="0"/>
          <w:marBottom w:val="0"/>
          <w:divBdr>
            <w:top w:val="none" w:sz="0" w:space="0" w:color="auto"/>
            <w:left w:val="none" w:sz="0" w:space="0" w:color="auto"/>
            <w:bottom w:val="none" w:sz="0" w:space="0" w:color="auto"/>
            <w:right w:val="none" w:sz="0" w:space="0" w:color="auto"/>
          </w:divBdr>
        </w:div>
        <w:div w:id="2009599322">
          <w:marLeft w:val="0"/>
          <w:marRight w:val="0"/>
          <w:marTop w:val="0"/>
          <w:marBottom w:val="0"/>
          <w:divBdr>
            <w:top w:val="none" w:sz="0" w:space="0" w:color="auto"/>
            <w:left w:val="none" w:sz="0" w:space="0" w:color="auto"/>
            <w:bottom w:val="none" w:sz="0" w:space="0" w:color="auto"/>
            <w:right w:val="none" w:sz="0" w:space="0" w:color="auto"/>
          </w:divBdr>
        </w:div>
        <w:div w:id="2094232762">
          <w:marLeft w:val="0"/>
          <w:marRight w:val="0"/>
          <w:marTop w:val="0"/>
          <w:marBottom w:val="0"/>
          <w:divBdr>
            <w:top w:val="none" w:sz="0" w:space="0" w:color="auto"/>
            <w:left w:val="none" w:sz="0" w:space="0" w:color="auto"/>
            <w:bottom w:val="none" w:sz="0" w:space="0" w:color="auto"/>
            <w:right w:val="none" w:sz="0" w:space="0" w:color="auto"/>
          </w:divBdr>
        </w:div>
      </w:divsChild>
    </w:div>
    <w:div w:id="1062368175">
      <w:bodyDiv w:val="1"/>
      <w:marLeft w:val="0"/>
      <w:marRight w:val="0"/>
      <w:marTop w:val="0"/>
      <w:marBottom w:val="0"/>
      <w:divBdr>
        <w:top w:val="none" w:sz="0" w:space="0" w:color="auto"/>
        <w:left w:val="none" w:sz="0" w:space="0" w:color="auto"/>
        <w:bottom w:val="none" w:sz="0" w:space="0" w:color="auto"/>
        <w:right w:val="none" w:sz="0" w:space="0" w:color="auto"/>
      </w:divBdr>
      <w:divsChild>
        <w:div w:id="128744823">
          <w:marLeft w:val="75"/>
          <w:marRight w:val="75"/>
          <w:marTop w:val="0"/>
          <w:marBottom w:val="0"/>
          <w:divBdr>
            <w:top w:val="none" w:sz="0" w:space="0" w:color="auto"/>
            <w:left w:val="none" w:sz="0" w:space="0" w:color="auto"/>
            <w:bottom w:val="none" w:sz="0" w:space="0" w:color="auto"/>
            <w:right w:val="none" w:sz="0" w:space="0" w:color="auto"/>
          </w:divBdr>
          <w:divsChild>
            <w:div w:id="384257890">
              <w:marLeft w:val="0"/>
              <w:marRight w:val="0"/>
              <w:marTop w:val="0"/>
              <w:marBottom w:val="0"/>
              <w:divBdr>
                <w:top w:val="none" w:sz="0" w:space="0" w:color="auto"/>
                <w:left w:val="none" w:sz="0" w:space="0" w:color="auto"/>
                <w:bottom w:val="none" w:sz="0" w:space="0" w:color="auto"/>
                <w:right w:val="none" w:sz="0" w:space="0" w:color="auto"/>
              </w:divBdr>
              <w:divsChild>
                <w:div w:id="1605848343">
                  <w:marLeft w:val="0"/>
                  <w:marRight w:val="0"/>
                  <w:marTop w:val="0"/>
                  <w:marBottom w:val="0"/>
                  <w:divBdr>
                    <w:top w:val="none" w:sz="0" w:space="0" w:color="auto"/>
                    <w:left w:val="none" w:sz="0" w:space="0" w:color="auto"/>
                    <w:bottom w:val="none" w:sz="0" w:space="0" w:color="auto"/>
                    <w:right w:val="none" w:sz="0" w:space="0" w:color="auto"/>
                  </w:divBdr>
                  <w:divsChild>
                    <w:div w:id="1353607458">
                      <w:marLeft w:val="0"/>
                      <w:marRight w:val="0"/>
                      <w:marTop w:val="0"/>
                      <w:marBottom w:val="0"/>
                      <w:divBdr>
                        <w:top w:val="none" w:sz="0" w:space="0" w:color="auto"/>
                        <w:left w:val="none" w:sz="0" w:space="0" w:color="auto"/>
                        <w:bottom w:val="none" w:sz="0" w:space="0" w:color="auto"/>
                        <w:right w:val="none" w:sz="0" w:space="0" w:color="auto"/>
                      </w:divBdr>
                      <w:divsChild>
                        <w:div w:id="487138655">
                          <w:marLeft w:val="0"/>
                          <w:marRight w:val="0"/>
                          <w:marTop w:val="0"/>
                          <w:marBottom w:val="0"/>
                          <w:divBdr>
                            <w:top w:val="none" w:sz="0" w:space="0" w:color="auto"/>
                            <w:left w:val="none" w:sz="0" w:space="0" w:color="auto"/>
                            <w:bottom w:val="none" w:sz="0" w:space="0" w:color="auto"/>
                            <w:right w:val="none" w:sz="0" w:space="0" w:color="auto"/>
                          </w:divBdr>
                        </w:div>
                        <w:div w:id="1034963793">
                          <w:marLeft w:val="0"/>
                          <w:marRight w:val="0"/>
                          <w:marTop w:val="0"/>
                          <w:marBottom w:val="0"/>
                          <w:divBdr>
                            <w:top w:val="none" w:sz="0" w:space="0" w:color="auto"/>
                            <w:left w:val="none" w:sz="0" w:space="0" w:color="auto"/>
                            <w:bottom w:val="none" w:sz="0" w:space="0" w:color="auto"/>
                            <w:right w:val="none" w:sz="0" w:space="0" w:color="auto"/>
                          </w:divBdr>
                        </w:div>
                        <w:div w:id="1189756348">
                          <w:marLeft w:val="0"/>
                          <w:marRight w:val="0"/>
                          <w:marTop w:val="0"/>
                          <w:marBottom w:val="0"/>
                          <w:divBdr>
                            <w:top w:val="none" w:sz="0" w:space="0" w:color="auto"/>
                            <w:left w:val="none" w:sz="0" w:space="0" w:color="auto"/>
                            <w:bottom w:val="none" w:sz="0" w:space="0" w:color="auto"/>
                            <w:right w:val="none" w:sz="0" w:space="0" w:color="auto"/>
                          </w:divBdr>
                        </w:div>
                        <w:div w:id="1778326878">
                          <w:marLeft w:val="0"/>
                          <w:marRight w:val="0"/>
                          <w:marTop w:val="0"/>
                          <w:marBottom w:val="0"/>
                          <w:divBdr>
                            <w:top w:val="none" w:sz="0" w:space="0" w:color="auto"/>
                            <w:left w:val="none" w:sz="0" w:space="0" w:color="auto"/>
                            <w:bottom w:val="none" w:sz="0" w:space="0" w:color="auto"/>
                            <w:right w:val="none" w:sz="0" w:space="0" w:color="auto"/>
                          </w:divBdr>
                        </w:div>
                        <w:div w:id="21241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0680">
              <w:marLeft w:val="0"/>
              <w:marRight w:val="0"/>
              <w:marTop w:val="0"/>
              <w:marBottom w:val="0"/>
              <w:divBdr>
                <w:top w:val="none" w:sz="0" w:space="0" w:color="auto"/>
                <w:left w:val="none" w:sz="0" w:space="0" w:color="auto"/>
                <w:bottom w:val="none" w:sz="0" w:space="0" w:color="auto"/>
                <w:right w:val="none" w:sz="0" w:space="0" w:color="auto"/>
              </w:divBdr>
            </w:div>
          </w:divsChild>
        </w:div>
        <w:div w:id="176115127">
          <w:marLeft w:val="75"/>
          <w:marRight w:val="75"/>
          <w:marTop w:val="0"/>
          <w:marBottom w:val="0"/>
          <w:divBdr>
            <w:top w:val="none" w:sz="0" w:space="0" w:color="auto"/>
            <w:left w:val="none" w:sz="0" w:space="0" w:color="auto"/>
            <w:bottom w:val="none" w:sz="0" w:space="0" w:color="auto"/>
            <w:right w:val="none" w:sz="0" w:space="0" w:color="auto"/>
          </w:divBdr>
          <w:divsChild>
            <w:div w:id="948977211">
              <w:marLeft w:val="0"/>
              <w:marRight w:val="0"/>
              <w:marTop w:val="0"/>
              <w:marBottom w:val="0"/>
              <w:divBdr>
                <w:top w:val="none" w:sz="0" w:space="0" w:color="auto"/>
                <w:left w:val="none" w:sz="0" w:space="0" w:color="auto"/>
                <w:bottom w:val="none" w:sz="0" w:space="0" w:color="auto"/>
                <w:right w:val="none" w:sz="0" w:space="0" w:color="auto"/>
              </w:divBdr>
              <w:divsChild>
                <w:div w:id="14987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229">
          <w:marLeft w:val="75"/>
          <w:marRight w:val="75"/>
          <w:marTop w:val="0"/>
          <w:marBottom w:val="0"/>
          <w:divBdr>
            <w:top w:val="none" w:sz="0" w:space="0" w:color="auto"/>
            <w:left w:val="none" w:sz="0" w:space="0" w:color="auto"/>
            <w:bottom w:val="none" w:sz="0" w:space="0" w:color="auto"/>
            <w:right w:val="none" w:sz="0" w:space="0" w:color="auto"/>
          </w:divBdr>
          <w:divsChild>
            <w:div w:id="373775834">
              <w:marLeft w:val="0"/>
              <w:marRight w:val="0"/>
              <w:marTop w:val="0"/>
              <w:marBottom w:val="0"/>
              <w:divBdr>
                <w:top w:val="none" w:sz="0" w:space="0" w:color="auto"/>
                <w:left w:val="none" w:sz="0" w:space="0" w:color="auto"/>
                <w:bottom w:val="none" w:sz="0" w:space="0" w:color="auto"/>
                <w:right w:val="none" w:sz="0" w:space="0" w:color="auto"/>
              </w:divBdr>
              <w:divsChild>
                <w:div w:id="371926162">
                  <w:marLeft w:val="0"/>
                  <w:marRight w:val="0"/>
                  <w:marTop w:val="0"/>
                  <w:marBottom w:val="0"/>
                  <w:divBdr>
                    <w:top w:val="none" w:sz="0" w:space="0" w:color="auto"/>
                    <w:left w:val="none" w:sz="0" w:space="0" w:color="auto"/>
                    <w:bottom w:val="none" w:sz="0" w:space="0" w:color="auto"/>
                    <w:right w:val="none" w:sz="0" w:space="0" w:color="auto"/>
                  </w:divBdr>
                  <w:divsChild>
                    <w:div w:id="1287545723">
                      <w:marLeft w:val="0"/>
                      <w:marRight w:val="0"/>
                      <w:marTop w:val="0"/>
                      <w:marBottom w:val="0"/>
                      <w:divBdr>
                        <w:top w:val="none" w:sz="0" w:space="0" w:color="auto"/>
                        <w:left w:val="none" w:sz="0" w:space="0" w:color="auto"/>
                        <w:bottom w:val="none" w:sz="0" w:space="0" w:color="auto"/>
                        <w:right w:val="none" w:sz="0" w:space="0" w:color="auto"/>
                      </w:divBdr>
                      <w:divsChild>
                        <w:div w:id="106970412">
                          <w:marLeft w:val="0"/>
                          <w:marRight w:val="0"/>
                          <w:marTop w:val="0"/>
                          <w:marBottom w:val="0"/>
                          <w:divBdr>
                            <w:top w:val="none" w:sz="0" w:space="0" w:color="auto"/>
                            <w:left w:val="none" w:sz="0" w:space="0" w:color="auto"/>
                            <w:bottom w:val="none" w:sz="0" w:space="0" w:color="auto"/>
                            <w:right w:val="none" w:sz="0" w:space="0" w:color="auto"/>
                          </w:divBdr>
                        </w:div>
                        <w:div w:id="379016269">
                          <w:marLeft w:val="0"/>
                          <w:marRight w:val="0"/>
                          <w:marTop w:val="0"/>
                          <w:marBottom w:val="0"/>
                          <w:divBdr>
                            <w:top w:val="none" w:sz="0" w:space="0" w:color="auto"/>
                            <w:left w:val="none" w:sz="0" w:space="0" w:color="auto"/>
                            <w:bottom w:val="none" w:sz="0" w:space="0" w:color="auto"/>
                            <w:right w:val="none" w:sz="0" w:space="0" w:color="auto"/>
                          </w:divBdr>
                        </w:div>
                        <w:div w:id="404189297">
                          <w:marLeft w:val="0"/>
                          <w:marRight w:val="0"/>
                          <w:marTop w:val="0"/>
                          <w:marBottom w:val="0"/>
                          <w:divBdr>
                            <w:top w:val="none" w:sz="0" w:space="0" w:color="auto"/>
                            <w:left w:val="none" w:sz="0" w:space="0" w:color="auto"/>
                            <w:bottom w:val="none" w:sz="0" w:space="0" w:color="auto"/>
                            <w:right w:val="none" w:sz="0" w:space="0" w:color="auto"/>
                          </w:divBdr>
                        </w:div>
                        <w:div w:id="410004658">
                          <w:marLeft w:val="0"/>
                          <w:marRight w:val="0"/>
                          <w:marTop w:val="0"/>
                          <w:marBottom w:val="0"/>
                          <w:divBdr>
                            <w:top w:val="none" w:sz="0" w:space="0" w:color="auto"/>
                            <w:left w:val="none" w:sz="0" w:space="0" w:color="auto"/>
                            <w:bottom w:val="none" w:sz="0" w:space="0" w:color="auto"/>
                            <w:right w:val="none" w:sz="0" w:space="0" w:color="auto"/>
                          </w:divBdr>
                        </w:div>
                        <w:div w:id="530188635">
                          <w:marLeft w:val="0"/>
                          <w:marRight w:val="0"/>
                          <w:marTop w:val="0"/>
                          <w:marBottom w:val="0"/>
                          <w:divBdr>
                            <w:top w:val="none" w:sz="0" w:space="0" w:color="auto"/>
                            <w:left w:val="none" w:sz="0" w:space="0" w:color="auto"/>
                            <w:bottom w:val="none" w:sz="0" w:space="0" w:color="auto"/>
                            <w:right w:val="none" w:sz="0" w:space="0" w:color="auto"/>
                          </w:divBdr>
                        </w:div>
                        <w:div w:id="559096725">
                          <w:marLeft w:val="0"/>
                          <w:marRight w:val="0"/>
                          <w:marTop w:val="0"/>
                          <w:marBottom w:val="0"/>
                          <w:divBdr>
                            <w:top w:val="none" w:sz="0" w:space="0" w:color="auto"/>
                            <w:left w:val="none" w:sz="0" w:space="0" w:color="auto"/>
                            <w:bottom w:val="none" w:sz="0" w:space="0" w:color="auto"/>
                            <w:right w:val="none" w:sz="0" w:space="0" w:color="auto"/>
                          </w:divBdr>
                        </w:div>
                        <w:div w:id="606277778">
                          <w:marLeft w:val="0"/>
                          <w:marRight w:val="0"/>
                          <w:marTop w:val="0"/>
                          <w:marBottom w:val="0"/>
                          <w:divBdr>
                            <w:top w:val="none" w:sz="0" w:space="0" w:color="auto"/>
                            <w:left w:val="none" w:sz="0" w:space="0" w:color="auto"/>
                            <w:bottom w:val="none" w:sz="0" w:space="0" w:color="auto"/>
                            <w:right w:val="none" w:sz="0" w:space="0" w:color="auto"/>
                          </w:divBdr>
                        </w:div>
                        <w:div w:id="683172164">
                          <w:marLeft w:val="0"/>
                          <w:marRight w:val="0"/>
                          <w:marTop w:val="0"/>
                          <w:marBottom w:val="0"/>
                          <w:divBdr>
                            <w:top w:val="none" w:sz="0" w:space="0" w:color="auto"/>
                            <w:left w:val="none" w:sz="0" w:space="0" w:color="auto"/>
                            <w:bottom w:val="none" w:sz="0" w:space="0" w:color="auto"/>
                            <w:right w:val="none" w:sz="0" w:space="0" w:color="auto"/>
                          </w:divBdr>
                        </w:div>
                        <w:div w:id="754859504">
                          <w:marLeft w:val="0"/>
                          <w:marRight w:val="0"/>
                          <w:marTop w:val="0"/>
                          <w:marBottom w:val="0"/>
                          <w:divBdr>
                            <w:top w:val="none" w:sz="0" w:space="0" w:color="auto"/>
                            <w:left w:val="none" w:sz="0" w:space="0" w:color="auto"/>
                            <w:bottom w:val="none" w:sz="0" w:space="0" w:color="auto"/>
                            <w:right w:val="none" w:sz="0" w:space="0" w:color="auto"/>
                          </w:divBdr>
                        </w:div>
                        <w:div w:id="767852214">
                          <w:marLeft w:val="0"/>
                          <w:marRight w:val="0"/>
                          <w:marTop w:val="0"/>
                          <w:marBottom w:val="0"/>
                          <w:divBdr>
                            <w:top w:val="none" w:sz="0" w:space="0" w:color="auto"/>
                            <w:left w:val="none" w:sz="0" w:space="0" w:color="auto"/>
                            <w:bottom w:val="none" w:sz="0" w:space="0" w:color="auto"/>
                            <w:right w:val="none" w:sz="0" w:space="0" w:color="auto"/>
                          </w:divBdr>
                        </w:div>
                        <w:div w:id="887768126">
                          <w:marLeft w:val="0"/>
                          <w:marRight w:val="0"/>
                          <w:marTop w:val="0"/>
                          <w:marBottom w:val="0"/>
                          <w:divBdr>
                            <w:top w:val="none" w:sz="0" w:space="0" w:color="auto"/>
                            <w:left w:val="none" w:sz="0" w:space="0" w:color="auto"/>
                            <w:bottom w:val="none" w:sz="0" w:space="0" w:color="auto"/>
                            <w:right w:val="none" w:sz="0" w:space="0" w:color="auto"/>
                          </w:divBdr>
                        </w:div>
                        <w:div w:id="890312376">
                          <w:marLeft w:val="0"/>
                          <w:marRight w:val="0"/>
                          <w:marTop w:val="0"/>
                          <w:marBottom w:val="0"/>
                          <w:divBdr>
                            <w:top w:val="none" w:sz="0" w:space="0" w:color="auto"/>
                            <w:left w:val="none" w:sz="0" w:space="0" w:color="auto"/>
                            <w:bottom w:val="none" w:sz="0" w:space="0" w:color="auto"/>
                            <w:right w:val="none" w:sz="0" w:space="0" w:color="auto"/>
                          </w:divBdr>
                        </w:div>
                        <w:div w:id="1029138333">
                          <w:marLeft w:val="0"/>
                          <w:marRight w:val="0"/>
                          <w:marTop w:val="0"/>
                          <w:marBottom w:val="0"/>
                          <w:divBdr>
                            <w:top w:val="none" w:sz="0" w:space="0" w:color="auto"/>
                            <w:left w:val="none" w:sz="0" w:space="0" w:color="auto"/>
                            <w:bottom w:val="none" w:sz="0" w:space="0" w:color="auto"/>
                            <w:right w:val="none" w:sz="0" w:space="0" w:color="auto"/>
                          </w:divBdr>
                        </w:div>
                        <w:div w:id="1051534642">
                          <w:marLeft w:val="0"/>
                          <w:marRight w:val="0"/>
                          <w:marTop w:val="0"/>
                          <w:marBottom w:val="0"/>
                          <w:divBdr>
                            <w:top w:val="none" w:sz="0" w:space="0" w:color="auto"/>
                            <w:left w:val="none" w:sz="0" w:space="0" w:color="auto"/>
                            <w:bottom w:val="none" w:sz="0" w:space="0" w:color="auto"/>
                            <w:right w:val="none" w:sz="0" w:space="0" w:color="auto"/>
                          </w:divBdr>
                        </w:div>
                        <w:div w:id="1120952556">
                          <w:marLeft w:val="0"/>
                          <w:marRight w:val="0"/>
                          <w:marTop w:val="0"/>
                          <w:marBottom w:val="0"/>
                          <w:divBdr>
                            <w:top w:val="none" w:sz="0" w:space="0" w:color="auto"/>
                            <w:left w:val="none" w:sz="0" w:space="0" w:color="auto"/>
                            <w:bottom w:val="none" w:sz="0" w:space="0" w:color="auto"/>
                            <w:right w:val="none" w:sz="0" w:space="0" w:color="auto"/>
                          </w:divBdr>
                        </w:div>
                        <w:div w:id="1296525332">
                          <w:marLeft w:val="0"/>
                          <w:marRight w:val="0"/>
                          <w:marTop w:val="0"/>
                          <w:marBottom w:val="0"/>
                          <w:divBdr>
                            <w:top w:val="none" w:sz="0" w:space="0" w:color="auto"/>
                            <w:left w:val="none" w:sz="0" w:space="0" w:color="auto"/>
                            <w:bottom w:val="none" w:sz="0" w:space="0" w:color="auto"/>
                            <w:right w:val="none" w:sz="0" w:space="0" w:color="auto"/>
                          </w:divBdr>
                        </w:div>
                        <w:div w:id="1448083946">
                          <w:marLeft w:val="0"/>
                          <w:marRight w:val="0"/>
                          <w:marTop w:val="0"/>
                          <w:marBottom w:val="0"/>
                          <w:divBdr>
                            <w:top w:val="none" w:sz="0" w:space="0" w:color="auto"/>
                            <w:left w:val="none" w:sz="0" w:space="0" w:color="auto"/>
                            <w:bottom w:val="none" w:sz="0" w:space="0" w:color="auto"/>
                            <w:right w:val="none" w:sz="0" w:space="0" w:color="auto"/>
                          </w:divBdr>
                        </w:div>
                        <w:div w:id="1731810784">
                          <w:marLeft w:val="0"/>
                          <w:marRight w:val="0"/>
                          <w:marTop w:val="0"/>
                          <w:marBottom w:val="0"/>
                          <w:divBdr>
                            <w:top w:val="none" w:sz="0" w:space="0" w:color="auto"/>
                            <w:left w:val="none" w:sz="0" w:space="0" w:color="auto"/>
                            <w:bottom w:val="none" w:sz="0" w:space="0" w:color="auto"/>
                            <w:right w:val="none" w:sz="0" w:space="0" w:color="auto"/>
                          </w:divBdr>
                        </w:div>
                        <w:div w:id="1849634988">
                          <w:marLeft w:val="0"/>
                          <w:marRight w:val="0"/>
                          <w:marTop w:val="0"/>
                          <w:marBottom w:val="0"/>
                          <w:divBdr>
                            <w:top w:val="none" w:sz="0" w:space="0" w:color="auto"/>
                            <w:left w:val="none" w:sz="0" w:space="0" w:color="auto"/>
                            <w:bottom w:val="none" w:sz="0" w:space="0" w:color="auto"/>
                            <w:right w:val="none" w:sz="0" w:space="0" w:color="auto"/>
                          </w:divBdr>
                        </w:div>
                        <w:div w:id="1935938267">
                          <w:marLeft w:val="0"/>
                          <w:marRight w:val="0"/>
                          <w:marTop w:val="0"/>
                          <w:marBottom w:val="0"/>
                          <w:divBdr>
                            <w:top w:val="none" w:sz="0" w:space="0" w:color="auto"/>
                            <w:left w:val="none" w:sz="0" w:space="0" w:color="auto"/>
                            <w:bottom w:val="none" w:sz="0" w:space="0" w:color="auto"/>
                            <w:right w:val="none" w:sz="0" w:space="0" w:color="auto"/>
                          </w:divBdr>
                        </w:div>
                        <w:div w:id="1943688309">
                          <w:marLeft w:val="0"/>
                          <w:marRight w:val="0"/>
                          <w:marTop w:val="0"/>
                          <w:marBottom w:val="0"/>
                          <w:divBdr>
                            <w:top w:val="none" w:sz="0" w:space="0" w:color="auto"/>
                            <w:left w:val="none" w:sz="0" w:space="0" w:color="auto"/>
                            <w:bottom w:val="none" w:sz="0" w:space="0" w:color="auto"/>
                            <w:right w:val="none" w:sz="0" w:space="0" w:color="auto"/>
                          </w:divBdr>
                        </w:div>
                        <w:div w:id="20245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0716">
          <w:marLeft w:val="75"/>
          <w:marRight w:val="75"/>
          <w:marTop w:val="0"/>
          <w:marBottom w:val="0"/>
          <w:divBdr>
            <w:top w:val="none" w:sz="0" w:space="0" w:color="auto"/>
            <w:left w:val="none" w:sz="0" w:space="0" w:color="auto"/>
            <w:bottom w:val="none" w:sz="0" w:space="0" w:color="auto"/>
            <w:right w:val="none" w:sz="0" w:space="0" w:color="auto"/>
          </w:divBdr>
          <w:divsChild>
            <w:div w:id="1957519428">
              <w:marLeft w:val="0"/>
              <w:marRight w:val="0"/>
              <w:marTop w:val="0"/>
              <w:marBottom w:val="0"/>
              <w:divBdr>
                <w:top w:val="none" w:sz="0" w:space="0" w:color="auto"/>
                <w:left w:val="none" w:sz="0" w:space="0" w:color="auto"/>
                <w:bottom w:val="none" w:sz="0" w:space="0" w:color="auto"/>
                <w:right w:val="none" w:sz="0" w:space="0" w:color="auto"/>
              </w:divBdr>
              <w:divsChild>
                <w:div w:id="681276357">
                  <w:marLeft w:val="0"/>
                  <w:marRight w:val="0"/>
                  <w:marTop w:val="0"/>
                  <w:marBottom w:val="0"/>
                  <w:divBdr>
                    <w:top w:val="none" w:sz="0" w:space="0" w:color="auto"/>
                    <w:left w:val="none" w:sz="0" w:space="0" w:color="auto"/>
                    <w:bottom w:val="none" w:sz="0" w:space="0" w:color="auto"/>
                    <w:right w:val="none" w:sz="0" w:space="0" w:color="auto"/>
                  </w:divBdr>
                </w:div>
                <w:div w:id="1740441531">
                  <w:marLeft w:val="0"/>
                  <w:marRight w:val="0"/>
                  <w:marTop w:val="0"/>
                  <w:marBottom w:val="0"/>
                  <w:divBdr>
                    <w:top w:val="none" w:sz="0" w:space="0" w:color="auto"/>
                    <w:left w:val="none" w:sz="0" w:space="0" w:color="auto"/>
                    <w:bottom w:val="none" w:sz="0" w:space="0" w:color="auto"/>
                    <w:right w:val="none" w:sz="0" w:space="0" w:color="auto"/>
                  </w:divBdr>
                  <w:divsChild>
                    <w:div w:id="2136949691">
                      <w:marLeft w:val="0"/>
                      <w:marRight w:val="0"/>
                      <w:marTop w:val="0"/>
                      <w:marBottom w:val="0"/>
                      <w:divBdr>
                        <w:top w:val="none" w:sz="0" w:space="0" w:color="auto"/>
                        <w:left w:val="none" w:sz="0" w:space="0" w:color="auto"/>
                        <w:bottom w:val="none" w:sz="0" w:space="0" w:color="auto"/>
                        <w:right w:val="none" w:sz="0" w:space="0" w:color="auto"/>
                      </w:divBdr>
                      <w:divsChild>
                        <w:div w:id="419763344">
                          <w:marLeft w:val="0"/>
                          <w:marRight w:val="0"/>
                          <w:marTop w:val="0"/>
                          <w:marBottom w:val="0"/>
                          <w:divBdr>
                            <w:top w:val="none" w:sz="0" w:space="0" w:color="auto"/>
                            <w:left w:val="none" w:sz="0" w:space="0" w:color="auto"/>
                            <w:bottom w:val="none" w:sz="0" w:space="0" w:color="auto"/>
                            <w:right w:val="none" w:sz="0" w:space="0" w:color="auto"/>
                          </w:divBdr>
                        </w:div>
                        <w:div w:id="1890260280">
                          <w:marLeft w:val="0"/>
                          <w:marRight w:val="0"/>
                          <w:marTop w:val="0"/>
                          <w:marBottom w:val="0"/>
                          <w:divBdr>
                            <w:top w:val="none" w:sz="0" w:space="0" w:color="auto"/>
                            <w:left w:val="none" w:sz="0" w:space="0" w:color="auto"/>
                            <w:bottom w:val="none" w:sz="0" w:space="0" w:color="auto"/>
                            <w:right w:val="none" w:sz="0" w:space="0" w:color="auto"/>
                          </w:divBdr>
                        </w:div>
                        <w:div w:id="20262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5424">
          <w:marLeft w:val="75"/>
          <w:marRight w:val="75"/>
          <w:marTop w:val="0"/>
          <w:marBottom w:val="0"/>
          <w:divBdr>
            <w:top w:val="none" w:sz="0" w:space="0" w:color="auto"/>
            <w:left w:val="none" w:sz="0" w:space="0" w:color="auto"/>
            <w:bottom w:val="none" w:sz="0" w:space="0" w:color="auto"/>
            <w:right w:val="none" w:sz="0" w:space="0" w:color="auto"/>
          </w:divBdr>
          <w:divsChild>
            <w:div w:id="242834299">
              <w:marLeft w:val="0"/>
              <w:marRight w:val="0"/>
              <w:marTop w:val="0"/>
              <w:marBottom w:val="0"/>
              <w:divBdr>
                <w:top w:val="none" w:sz="0" w:space="0" w:color="auto"/>
                <w:left w:val="none" w:sz="0" w:space="0" w:color="auto"/>
                <w:bottom w:val="none" w:sz="0" w:space="0" w:color="auto"/>
                <w:right w:val="none" w:sz="0" w:space="0" w:color="auto"/>
              </w:divBdr>
              <w:divsChild>
                <w:div w:id="345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3729">
          <w:marLeft w:val="75"/>
          <w:marRight w:val="75"/>
          <w:marTop w:val="0"/>
          <w:marBottom w:val="0"/>
          <w:divBdr>
            <w:top w:val="none" w:sz="0" w:space="0" w:color="auto"/>
            <w:left w:val="none" w:sz="0" w:space="0" w:color="auto"/>
            <w:bottom w:val="none" w:sz="0" w:space="0" w:color="auto"/>
            <w:right w:val="none" w:sz="0" w:space="0" w:color="auto"/>
          </w:divBdr>
          <w:divsChild>
            <w:div w:id="560871065">
              <w:marLeft w:val="0"/>
              <w:marRight w:val="0"/>
              <w:marTop w:val="0"/>
              <w:marBottom w:val="0"/>
              <w:divBdr>
                <w:top w:val="none" w:sz="0" w:space="0" w:color="auto"/>
                <w:left w:val="none" w:sz="0" w:space="0" w:color="auto"/>
                <w:bottom w:val="none" w:sz="0" w:space="0" w:color="auto"/>
                <w:right w:val="none" w:sz="0" w:space="0" w:color="auto"/>
              </w:divBdr>
              <w:divsChild>
                <w:div w:id="1572037396">
                  <w:marLeft w:val="0"/>
                  <w:marRight w:val="0"/>
                  <w:marTop w:val="0"/>
                  <w:marBottom w:val="0"/>
                  <w:divBdr>
                    <w:top w:val="none" w:sz="0" w:space="0" w:color="auto"/>
                    <w:left w:val="none" w:sz="0" w:space="0" w:color="auto"/>
                    <w:bottom w:val="none" w:sz="0" w:space="0" w:color="auto"/>
                    <w:right w:val="none" w:sz="0" w:space="0" w:color="auto"/>
                  </w:divBdr>
                  <w:divsChild>
                    <w:div w:id="1904948076">
                      <w:marLeft w:val="0"/>
                      <w:marRight w:val="0"/>
                      <w:marTop w:val="0"/>
                      <w:marBottom w:val="0"/>
                      <w:divBdr>
                        <w:top w:val="none" w:sz="0" w:space="0" w:color="auto"/>
                        <w:left w:val="none" w:sz="0" w:space="0" w:color="auto"/>
                        <w:bottom w:val="none" w:sz="0" w:space="0" w:color="auto"/>
                        <w:right w:val="none" w:sz="0" w:space="0" w:color="auto"/>
                      </w:divBdr>
                      <w:divsChild>
                        <w:div w:id="100805555">
                          <w:marLeft w:val="0"/>
                          <w:marRight w:val="0"/>
                          <w:marTop w:val="0"/>
                          <w:marBottom w:val="0"/>
                          <w:divBdr>
                            <w:top w:val="none" w:sz="0" w:space="0" w:color="auto"/>
                            <w:left w:val="none" w:sz="0" w:space="0" w:color="auto"/>
                            <w:bottom w:val="none" w:sz="0" w:space="0" w:color="auto"/>
                            <w:right w:val="none" w:sz="0" w:space="0" w:color="auto"/>
                          </w:divBdr>
                        </w:div>
                        <w:div w:id="178397966">
                          <w:marLeft w:val="0"/>
                          <w:marRight w:val="0"/>
                          <w:marTop w:val="0"/>
                          <w:marBottom w:val="0"/>
                          <w:divBdr>
                            <w:top w:val="none" w:sz="0" w:space="0" w:color="auto"/>
                            <w:left w:val="none" w:sz="0" w:space="0" w:color="auto"/>
                            <w:bottom w:val="none" w:sz="0" w:space="0" w:color="auto"/>
                            <w:right w:val="none" w:sz="0" w:space="0" w:color="auto"/>
                          </w:divBdr>
                        </w:div>
                        <w:div w:id="243073312">
                          <w:marLeft w:val="0"/>
                          <w:marRight w:val="0"/>
                          <w:marTop w:val="0"/>
                          <w:marBottom w:val="0"/>
                          <w:divBdr>
                            <w:top w:val="none" w:sz="0" w:space="0" w:color="auto"/>
                            <w:left w:val="none" w:sz="0" w:space="0" w:color="auto"/>
                            <w:bottom w:val="none" w:sz="0" w:space="0" w:color="auto"/>
                            <w:right w:val="none" w:sz="0" w:space="0" w:color="auto"/>
                          </w:divBdr>
                        </w:div>
                        <w:div w:id="305356086">
                          <w:marLeft w:val="0"/>
                          <w:marRight w:val="0"/>
                          <w:marTop w:val="0"/>
                          <w:marBottom w:val="0"/>
                          <w:divBdr>
                            <w:top w:val="none" w:sz="0" w:space="0" w:color="auto"/>
                            <w:left w:val="none" w:sz="0" w:space="0" w:color="auto"/>
                            <w:bottom w:val="none" w:sz="0" w:space="0" w:color="auto"/>
                            <w:right w:val="none" w:sz="0" w:space="0" w:color="auto"/>
                          </w:divBdr>
                        </w:div>
                        <w:div w:id="548420326">
                          <w:marLeft w:val="0"/>
                          <w:marRight w:val="0"/>
                          <w:marTop w:val="0"/>
                          <w:marBottom w:val="0"/>
                          <w:divBdr>
                            <w:top w:val="none" w:sz="0" w:space="0" w:color="auto"/>
                            <w:left w:val="none" w:sz="0" w:space="0" w:color="auto"/>
                            <w:bottom w:val="none" w:sz="0" w:space="0" w:color="auto"/>
                            <w:right w:val="none" w:sz="0" w:space="0" w:color="auto"/>
                          </w:divBdr>
                        </w:div>
                        <w:div w:id="558831570">
                          <w:marLeft w:val="0"/>
                          <w:marRight w:val="0"/>
                          <w:marTop w:val="0"/>
                          <w:marBottom w:val="0"/>
                          <w:divBdr>
                            <w:top w:val="none" w:sz="0" w:space="0" w:color="auto"/>
                            <w:left w:val="none" w:sz="0" w:space="0" w:color="auto"/>
                            <w:bottom w:val="none" w:sz="0" w:space="0" w:color="auto"/>
                            <w:right w:val="none" w:sz="0" w:space="0" w:color="auto"/>
                          </w:divBdr>
                        </w:div>
                        <w:div w:id="864171688">
                          <w:marLeft w:val="0"/>
                          <w:marRight w:val="0"/>
                          <w:marTop w:val="0"/>
                          <w:marBottom w:val="0"/>
                          <w:divBdr>
                            <w:top w:val="none" w:sz="0" w:space="0" w:color="auto"/>
                            <w:left w:val="none" w:sz="0" w:space="0" w:color="auto"/>
                            <w:bottom w:val="none" w:sz="0" w:space="0" w:color="auto"/>
                            <w:right w:val="none" w:sz="0" w:space="0" w:color="auto"/>
                          </w:divBdr>
                        </w:div>
                        <w:div w:id="870074214">
                          <w:marLeft w:val="0"/>
                          <w:marRight w:val="0"/>
                          <w:marTop w:val="0"/>
                          <w:marBottom w:val="0"/>
                          <w:divBdr>
                            <w:top w:val="none" w:sz="0" w:space="0" w:color="auto"/>
                            <w:left w:val="none" w:sz="0" w:space="0" w:color="auto"/>
                            <w:bottom w:val="none" w:sz="0" w:space="0" w:color="auto"/>
                            <w:right w:val="none" w:sz="0" w:space="0" w:color="auto"/>
                          </w:divBdr>
                        </w:div>
                        <w:div w:id="1755130686">
                          <w:marLeft w:val="0"/>
                          <w:marRight w:val="0"/>
                          <w:marTop w:val="0"/>
                          <w:marBottom w:val="0"/>
                          <w:divBdr>
                            <w:top w:val="none" w:sz="0" w:space="0" w:color="auto"/>
                            <w:left w:val="none" w:sz="0" w:space="0" w:color="auto"/>
                            <w:bottom w:val="none" w:sz="0" w:space="0" w:color="auto"/>
                            <w:right w:val="none" w:sz="0" w:space="0" w:color="auto"/>
                          </w:divBdr>
                        </w:div>
                        <w:div w:id="1916013976">
                          <w:marLeft w:val="0"/>
                          <w:marRight w:val="0"/>
                          <w:marTop w:val="0"/>
                          <w:marBottom w:val="0"/>
                          <w:divBdr>
                            <w:top w:val="none" w:sz="0" w:space="0" w:color="auto"/>
                            <w:left w:val="none" w:sz="0" w:space="0" w:color="auto"/>
                            <w:bottom w:val="none" w:sz="0" w:space="0" w:color="auto"/>
                            <w:right w:val="none" w:sz="0" w:space="0" w:color="auto"/>
                          </w:divBdr>
                        </w:div>
                        <w:div w:id="19363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241">
                  <w:marLeft w:val="0"/>
                  <w:marRight w:val="0"/>
                  <w:marTop w:val="0"/>
                  <w:marBottom w:val="0"/>
                  <w:divBdr>
                    <w:top w:val="none" w:sz="0" w:space="0" w:color="auto"/>
                    <w:left w:val="none" w:sz="0" w:space="0" w:color="auto"/>
                    <w:bottom w:val="none" w:sz="0" w:space="0" w:color="auto"/>
                    <w:right w:val="none" w:sz="0" w:space="0" w:color="auto"/>
                  </w:divBdr>
                  <w:divsChild>
                    <w:div w:id="810100658">
                      <w:marLeft w:val="0"/>
                      <w:marRight w:val="0"/>
                      <w:marTop w:val="0"/>
                      <w:marBottom w:val="0"/>
                      <w:divBdr>
                        <w:top w:val="none" w:sz="0" w:space="0" w:color="auto"/>
                        <w:left w:val="none" w:sz="0" w:space="0" w:color="auto"/>
                        <w:bottom w:val="none" w:sz="0" w:space="0" w:color="auto"/>
                        <w:right w:val="none" w:sz="0" w:space="0" w:color="auto"/>
                      </w:divBdr>
                      <w:divsChild>
                        <w:div w:id="56826892">
                          <w:marLeft w:val="0"/>
                          <w:marRight w:val="0"/>
                          <w:marTop w:val="0"/>
                          <w:marBottom w:val="0"/>
                          <w:divBdr>
                            <w:top w:val="none" w:sz="0" w:space="0" w:color="auto"/>
                            <w:left w:val="none" w:sz="0" w:space="0" w:color="auto"/>
                            <w:bottom w:val="none" w:sz="0" w:space="0" w:color="auto"/>
                            <w:right w:val="none" w:sz="0" w:space="0" w:color="auto"/>
                          </w:divBdr>
                        </w:div>
                        <w:div w:id="136530446">
                          <w:marLeft w:val="0"/>
                          <w:marRight w:val="0"/>
                          <w:marTop w:val="0"/>
                          <w:marBottom w:val="0"/>
                          <w:divBdr>
                            <w:top w:val="none" w:sz="0" w:space="0" w:color="auto"/>
                            <w:left w:val="none" w:sz="0" w:space="0" w:color="auto"/>
                            <w:bottom w:val="none" w:sz="0" w:space="0" w:color="auto"/>
                            <w:right w:val="none" w:sz="0" w:space="0" w:color="auto"/>
                          </w:divBdr>
                        </w:div>
                        <w:div w:id="174921895">
                          <w:marLeft w:val="0"/>
                          <w:marRight w:val="0"/>
                          <w:marTop w:val="0"/>
                          <w:marBottom w:val="0"/>
                          <w:divBdr>
                            <w:top w:val="none" w:sz="0" w:space="0" w:color="auto"/>
                            <w:left w:val="none" w:sz="0" w:space="0" w:color="auto"/>
                            <w:bottom w:val="none" w:sz="0" w:space="0" w:color="auto"/>
                            <w:right w:val="none" w:sz="0" w:space="0" w:color="auto"/>
                          </w:divBdr>
                        </w:div>
                        <w:div w:id="281575064">
                          <w:marLeft w:val="0"/>
                          <w:marRight w:val="0"/>
                          <w:marTop w:val="0"/>
                          <w:marBottom w:val="0"/>
                          <w:divBdr>
                            <w:top w:val="none" w:sz="0" w:space="0" w:color="auto"/>
                            <w:left w:val="none" w:sz="0" w:space="0" w:color="auto"/>
                            <w:bottom w:val="none" w:sz="0" w:space="0" w:color="auto"/>
                            <w:right w:val="none" w:sz="0" w:space="0" w:color="auto"/>
                          </w:divBdr>
                        </w:div>
                        <w:div w:id="427623525">
                          <w:marLeft w:val="0"/>
                          <w:marRight w:val="0"/>
                          <w:marTop w:val="0"/>
                          <w:marBottom w:val="0"/>
                          <w:divBdr>
                            <w:top w:val="none" w:sz="0" w:space="0" w:color="auto"/>
                            <w:left w:val="none" w:sz="0" w:space="0" w:color="auto"/>
                            <w:bottom w:val="none" w:sz="0" w:space="0" w:color="auto"/>
                            <w:right w:val="none" w:sz="0" w:space="0" w:color="auto"/>
                          </w:divBdr>
                        </w:div>
                        <w:div w:id="749472058">
                          <w:marLeft w:val="0"/>
                          <w:marRight w:val="0"/>
                          <w:marTop w:val="0"/>
                          <w:marBottom w:val="0"/>
                          <w:divBdr>
                            <w:top w:val="none" w:sz="0" w:space="0" w:color="auto"/>
                            <w:left w:val="none" w:sz="0" w:space="0" w:color="auto"/>
                            <w:bottom w:val="none" w:sz="0" w:space="0" w:color="auto"/>
                            <w:right w:val="none" w:sz="0" w:space="0" w:color="auto"/>
                          </w:divBdr>
                        </w:div>
                        <w:div w:id="818807363">
                          <w:marLeft w:val="0"/>
                          <w:marRight w:val="0"/>
                          <w:marTop w:val="0"/>
                          <w:marBottom w:val="0"/>
                          <w:divBdr>
                            <w:top w:val="none" w:sz="0" w:space="0" w:color="auto"/>
                            <w:left w:val="none" w:sz="0" w:space="0" w:color="auto"/>
                            <w:bottom w:val="none" w:sz="0" w:space="0" w:color="auto"/>
                            <w:right w:val="none" w:sz="0" w:space="0" w:color="auto"/>
                          </w:divBdr>
                        </w:div>
                        <w:div w:id="1206941861">
                          <w:marLeft w:val="0"/>
                          <w:marRight w:val="0"/>
                          <w:marTop w:val="0"/>
                          <w:marBottom w:val="0"/>
                          <w:divBdr>
                            <w:top w:val="none" w:sz="0" w:space="0" w:color="auto"/>
                            <w:left w:val="none" w:sz="0" w:space="0" w:color="auto"/>
                            <w:bottom w:val="none" w:sz="0" w:space="0" w:color="auto"/>
                            <w:right w:val="none" w:sz="0" w:space="0" w:color="auto"/>
                          </w:divBdr>
                        </w:div>
                        <w:div w:id="1391732745">
                          <w:marLeft w:val="0"/>
                          <w:marRight w:val="0"/>
                          <w:marTop w:val="0"/>
                          <w:marBottom w:val="0"/>
                          <w:divBdr>
                            <w:top w:val="none" w:sz="0" w:space="0" w:color="auto"/>
                            <w:left w:val="none" w:sz="0" w:space="0" w:color="auto"/>
                            <w:bottom w:val="none" w:sz="0" w:space="0" w:color="auto"/>
                            <w:right w:val="none" w:sz="0" w:space="0" w:color="auto"/>
                          </w:divBdr>
                        </w:div>
                        <w:div w:id="1395659566">
                          <w:marLeft w:val="0"/>
                          <w:marRight w:val="0"/>
                          <w:marTop w:val="0"/>
                          <w:marBottom w:val="0"/>
                          <w:divBdr>
                            <w:top w:val="none" w:sz="0" w:space="0" w:color="auto"/>
                            <w:left w:val="none" w:sz="0" w:space="0" w:color="auto"/>
                            <w:bottom w:val="none" w:sz="0" w:space="0" w:color="auto"/>
                            <w:right w:val="none" w:sz="0" w:space="0" w:color="auto"/>
                          </w:divBdr>
                        </w:div>
                        <w:div w:id="1858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44655">
          <w:marLeft w:val="75"/>
          <w:marRight w:val="75"/>
          <w:marTop w:val="0"/>
          <w:marBottom w:val="0"/>
          <w:divBdr>
            <w:top w:val="none" w:sz="0" w:space="0" w:color="auto"/>
            <w:left w:val="none" w:sz="0" w:space="0" w:color="auto"/>
            <w:bottom w:val="none" w:sz="0" w:space="0" w:color="auto"/>
            <w:right w:val="none" w:sz="0" w:space="0" w:color="auto"/>
          </w:divBdr>
          <w:divsChild>
            <w:div w:id="297877239">
              <w:marLeft w:val="0"/>
              <w:marRight w:val="0"/>
              <w:marTop w:val="0"/>
              <w:marBottom w:val="0"/>
              <w:divBdr>
                <w:top w:val="none" w:sz="0" w:space="0" w:color="auto"/>
                <w:left w:val="none" w:sz="0" w:space="0" w:color="auto"/>
                <w:bottom w:val="none" w:sz="0" w:space="0" w:color="auto"/>
                <w:right w:val="none" w:sz="0" w:space="0" w:color="auto"/>
              </w:divBdr>
              <w:divsChild>
                <w:div w:id="1003821040">
                  <w:marLeft w:val="0"/>
                  <w:marRight w:val="0"/>
                  <w:marTop w:val="0"/>
                  <w:marBottom w:val="0"/>
                  <w:divBdr>
                    <w:top w:val="none" w:sz="0" w:space="0" w:color="auto"/>
                    <w:left w:val="none" w:sz="0" w:space="0" w:color="auto"/>
                    <w:bottom w:val="none" w:sz="0" w:space="0" w:color="auto"/>
                    <w:right w:val="none" w:sz="0" w:space="0" w:color="auto"/>
                  </w:divBdr>
                </w:div>
                <w:div w:id="1528836544">
                  <w:marLeft w:val="0"/>
                  <w:marRight w:val="0"/>
                  <w:marTop w:val="0"/>
                  <w:marBottom w:val="0"/>
                  <w:divBdr>
                    <w:top w:val="none" w:sz="0" w:space="0" w:color="auto"/>
                    <w:left w:val="none" w:sz="0" w:space="0" w:color="auto"/>
                    <w:bottom w:val="none" w:sz="0" w:space="0" w:color="auto"/>
                    <w:right w:val="none" w:sz="0" w:space="0" w:color="auto"/>
                  </w:divBdr>
                </w:div>
                <w:div w:id="17748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1539">
          <w:marLeft w:val="75"/>
          <w:marRight w:val="75"/>
          <w:marTop w:val="0"/>
          <w:marBottom w:val="0"/>
          <w:divBdr>
            <w:top w:val="none" w:sz="0" w:space="0" w:color="auto"/>
            <w:left w:val="none" w:sz="0" w:space="0" w:color="auto"/>
            <w:bottom w:val="none" w:sz="0" w:space="0" w:color="auto"/>
            <w:right w:val="none" w:sz="0" w:space="0" w:color="auto"/>
          </w:divBdr>
          <w:divsChild>
            <w:div w:id="1555660480">
              <w:marLeft w:val="0"/>
              <w:marRight w:val="0"/>
              <w:marTop w:val="0"/>
              <w:marBottom w:val="0"/>
              <w:divBdr>
                <w:top w:val="none" w:sz="0" w:space="0" w:color="auto"/>
                <w:left w:val="none" w:sz="0" w:space="0" w:color="auto"/>
                <w:bottom w:val="none" w:sz="0" w:space="0" w:color="auto"/>
                <w:right w:val="none" w:sz="0" w:space="0" w:color="auto"/>
              </w:divBdr>
              <w:divsChild>
                <w:div w:id="51467793">
                  <w:marLeft w:val="0"/>
                  <w:marRight w:val="0"/>
                  <w:marTop w:val="0"/>
                  <w:marBottom w:val="0"/>
                  <w:divBdr>
                    <w:top w:val="none" w:sz="0" w:space="0" w:color="auto"/>
                    <w:left w:val="none" w:sz="0" w:space="0" w:color="auto"/>
                    <w:bottom w:val="none" w:sz="0" w:space="0" w:color="auto"/>
                    <w:right w:val="none" w:sz="0" w:space="0" w:color="auto"/>
                  </w:divBdr>
                </w:div>
                <w:div w:id="17968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9016">
          <w:marLeft w:val="75"/>
          <w:marRight w:val="75"/>
          <w:marTop w:val="0"/>
          <w:marBottom w:val="0"/>
          <w:divBdr>
            <w:top w:val="none" w:sz="0" w:space="0" w:color="auto"/>
            <w:left w:val="none" w:sz="0" w:space="0" w:color="auto"/>
            <w:bottom w:val="none" w:sz="0" w:space="0" w:color="auto"/>
            <w:right w:val="none" w:sz="0" w:space="0" w:color="auto"/>
          </w:divBdr>
          <w:divsChild>
            <w:div w:id="1458838882">
              <w:marLeft w:val="0"/>
              <w:marRight w:val="0"/>
              <w:marTop w:val="0"/>
              <w:marBottom w:val="0"/>
              <w:divBdr>
                <w:top w:val="none" w:sz="0" w:space="0" w:color="auto"/>
                <w:left w:val="none" w:sz="0" w:space="0" w:color="auto"/>
                <w:bottom w:val="none" w:sz="0" w:space="0" w:color="auto"/>
                <w:right w:val="none" w:sz="0" w:space="0" w:color="auto"/>
              </w:divBdr>
              <w:divsChild>
                <w:div w:id="7711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35862">
          <w:marLeft w:val="75"/>
          <w:marRight w:val="75"/>
          <w:marTop w:val="0"/>
          <w:marBottom w:val="0"/>
          <w:divBdr>
            <w:top w:val="none" w:sz="0" w:space="0" w:color="auto"/>
            <w:left w:val="none" w:sz="0" w:space="0" w:color="auto"/>
            <w:bottom w:val="none" w:sz="0" w:space="0" w:color="auto"/>
            <w:right w:val="none" w:sz="0" w:space="0" w:color="auto"/>
          </w:divBdr>
          <w:divsChild>
            <w:div w:id="90323100">
              <w:marLeft w:val="0"/>
              <w:marRight w:val="0"/>
              <w:marTop w:val="0"/>
              <w:marBottom w:val="0"/>
              <w:divBdr>
                <w:top w:val="none" w:sz="0" w:space="0" w:color="auto"/>
                <w:left w:val="none" w:sz="0" w:space="0" w:color="auto"/>
                <w:bottom w:val="none" w:sz="0" w:space="0" w:color="auto"/>
                <w:right w:val="none" w:sz="0" w:space="0" w:color="auto"/>
              </w:divBdr>
              <w:divsChild>
                <w:div w:id="543250481">
                  <w:marLeft w:val="0"/>
                  <w:marRight w:val="0"/>
                  <w:marTop w:val="0"/>
                  <w:marBottom w:val="0"/>
                  <w:divBdr>
                    <w:top w:val="none" w:sz="0" w:space="0" w:color="auto"/>
                    <w:left w:val="none" w:sz="0" w:space="0" w:color="auto"/>
                    <w:bottom w:val="none" w:sz="0" w:space="0" w:color="auto"/>
                    <w:right w:val="none" w:sz="0" w:space="0" w:color="auto"/>
                  </w:divBdr>
                </w:div>
                <w:div w:id="2041011324">
                  <w:marLeft w:val="0"/>
                  <w:marRight w:val="0"/>
                  <w:marTop w:val="0"/>
                  <w:marBottom w:val="0"/>
                  <w:divBdr>
                    <w:top w:val="none" w:sz="0" w:space="0" w:color="auto"/>
                    <w:left w:val="none" w:sz="0" w:space="0" w:color="auto"/>
                    <w:bottom w:val="none" w:sz="0" w:space="0" w:color="auto"/>
                    <w:right w:val="none" w:sz="0" w:space="0" w:color="auto"/>
                  </w:divBdr>
                </w:div>
                <w:div w:id="2095852487">
                  <w:marLeft w:val="0"/>
                  <w:marRight w:val="0"/>
                  <w:marTop w:val="0"/>
                  <w:marBottom w:val="0"/>
                  <w:divBdr>
                    <w:top w:val="none" w:sz="0" w:space="0" w:color="auto"/>
                    <w:left w:val="none" w:sz="0" w:space="0" w:color="auto"/>
                    <w:bottom w:val="none" w:sz="0" w:space="0" w:color="auto"/>
                    <w:right w:val="none" w:sz="0" w:space="0" w:color="auto"/>
                  </w:divBdr>
                </w:div>
                <w:div w:id="2131438665">
                  <w:marLeft w:val="0"/>
                  <w:marRight w:val="0"/>
                  <w:marTop w:val="0"/>
                  <w:marBottom w:val="0"/>
                  <w:divBdr>
                    <w:top w:val="none" w:sz="0" w:space="0" w:color="auto"/>
                    <w:left w:val="none" w:sz="0" w:space="0" w:color="auto"/>
                    <w:bottom w:val="none" w:sz="0" w:space="0" w:color="auto"/>
                    <w:right w:val="none" w:sz="0" w:space="0" w:color="auto"/>
                  </w:divBdr>
                </w:div>
              </w:divsChild>
            </w:div>
            <w:div w:id="1072965381">
              <w:marLeft w:val="0"/>
              <w:marRight w:val="0"/>
              <w:marTop w:val="0"/>
              <w:marBottom w:val="0"/>
              <w:divBdr>
                <w:top w:val="none" w:sz="0" w:space="0" w:color="auto"/>
                <w:left w:val="none" w:sz="0" w:space="0" w:color="auto"/>
                <w:bottom w:val="none" w:sz="0" w:space="0" w:color="auto"/>
                <w:right w:val="none" w:sz="0" w:space="0" w:color="auto"/>
              </w:divBdr>
            </w:div>
          </w:divsChild>
        </w:div>
        <w:div w:id="1529219729">
          <w:marLeft w:val="75"/>
          <w:marRight w:val="75"/>
          <w:marTop w:val="0"/>
          <w:marBottom w:val="0"/>
          <w:divBdr>
            <w:top w:val="none" w:sz="0" w:space="0" w:color="auto"/>
            <w:left w:val="none" w:sz="0" w:space="0" w:color="auto"/>
            <w:bottom w:val="none" w:sz="0" w:space="0" w:color="auto"/>
            <w:right w:val="none" w:sz="0" w:space="0" w:color="auto"/>
          </w:divBdr>
          <w:divsChild>
            <w:div w:id="1105729747">
              <w:marLeft w:val="0"/>
              <w:marRight w:val="0"/>
              <w:marTop w:val="0"/>
              <w:marBottom w:val="0"/>
              <w:divBdr>
                <w:top w:val="none" w:sz="0" w:space="0" w:color="auto"/>
                <w:left w:val="none" w:sz="0" w:space="0" w:color="auto"/>
                <w:bottom w:val="none" w:sz="0" w:space="0" w:color="auto"/>
                <w:right w:val="none" w:sz="0" w:space="0" w:color="auto"/>
              </w:divBdr>
              <w:divsChild>
                <w:div w:id="18119976">
                  <w:marLeft w:val="0"/>
                  <w:marRight w:val="0"/>
                  <w:marTop w:val="0"/>
                  <w:marBottom w:val="0"/>
                  <w:divBdr>
                    <w:top w:val="none" w:sz="0" w:space="0" w:color="auto"/>
                    <w:left w:val="none" w:sz="0" w:space="0" w:color="auto"/>
                    <w:bottom w:val="none" w:sz="0" w:space="0" w:color="auto"/>
                    <w:right w:val="none" w:sz="0" w:space="0" w:color="auto"/>
                  </w:divBdr>
                </w:div>
                <w:div w:id="252787051">
                  <w:marLeft w:val="0"/>
                  <w:marRight w:val="0"/>
                  <w:marTop w:val="0"/>
                  <w:marBottom w:val="0"/>
                  <w:divBdr>
                    <w:top w:val="none" w:sz="0" w:space="0" w:color="auto"/>
                    <w:left w:val="none" w:sz="0" w:space="0" w:color="auto"/>
                    <w:bottom w:val="none" w:sz="0" w:space="0" w:color="auto"/>
                    <w:right w:val="none" w:sz="0" w:space="0" w:color="auto"/>
                  </w:divBdr>
                </w:div>
                <w:div w:id="761995359">
                  <w:marLeft w:val="0"/>
                  <w:marRight w:val="0"/>
                  <w:marTop w:val="0"/>
                  <w:marBottom w:val="0"/>
                  <w:divBdr>
                    <w:top w:val="none" w:sz="0" w:space="0" w:color="auto"/>
                    <w:left w:val="none" w:sz="0" w:space="0" w:color="auto"/>
                    <w:bottom w:val="none" w:sz="0" w:space="0" w:color="auto"/>
                    <w:right w:val="none" w:sz="0" w:space="0" w:color="auto"/>
                  </w:divBdr>
                  <w:divsChild>
                    <w:div w:id="1706833485">
                      <w:marLeft w:val="0"/>
                      <w:marRight w:val="0"/>
                      <w:marTop w:val="0"/>
                      <w:marBottom w:val="0"/>
                      <w:divBdr>
                        <w:top w:val="none" w:sz="0" w:space="0" w:color="auto"/>
                        <w:left w:val="none" w:sz="0" w:space="0" w:color="auto"/>
                        <w:bottom w:val="none" w:sz="0" w:space="0" w:color="auto"/>
                        <w:right w:val="none" w:sz="0" w:space="0" w:color="auto"/>
                      </w:divBdr>
                      <w:divsChild>
                        <w:div w:id="1343628106">
                          <w:marLeft w:val="0"/>
                          <w:marRight w:val="0"/>
                          <w:marTop w:val="0"/>
                          <w:marBottom w:val="0"/>
                          <w:divBdr>
                            <w:top w:val="none" w:sz="0" w:space="0" w:color="auto"/>
                            <w:left w:val="none" w:sz="0" w:space="0" w:color="auto"/>
                            <w:bottom w:val="none" w:sz="0" w:space="0" w:color="auto"/>
                            <w:right w:val="none" w:sz="0" w:space="0" w:color="auto"/>
                          </w:divBdr>
                        </w:div>
                        <w:div w:id="1694261281">
                          <w:marLeft w:val="0"/>
                          <w:marRight w:val="0"/>
                          <w:marTop w:val="0"/>
                          <w:marBottom w:val="0"/>
                          <w:divBdr>
                            <w:top w:val="none" w:sz="0" w:space="0" w:color="auto"/>
                            <w:left w:val="none" w:sz="0" w:space="0" w:color="auto"/>
                            <w:bottom w:val="none" w:sz="0" w:space="0" w:color="auto"/>
                            <w:right w:val="none" w:sz="0" w:space="0" w:color="auto"/>
                          </w:divBdr>
                        </w:div>
                        <w:div w:id="1797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2606">
                  <w:marLeft w:val="0"/>
                  <w:marRight w:val="0"/>
                  <w:marTop w:val="0"/>
                  <w:marBottom w:val="0"/>
                  <w:divBdr>
                    <w:top w:val="none" w:sz="0" w:space="0" w:color="auto"/>
                    <w:left w:val="none" w:sz="0" w:space="0" w:color="auto"/>
                    <w:bottom w:val="none" w:sz="0" w:space="0" w:color="auto"/>
                    <w:right w:val="none" w:sz="0" w:space="0" w:color="auto"/>
                  </w:divBdr>
                </w:div>
                <w:div w:id="1635871837">
                  <w:marLeft w:val="0"/>
                  <w:marRight w:val="0"/>
                  <w:marTop w:val="0"/>
                  <w:marBottom w:val="0"/>
                  <w:divBdr>
                    <w:top w:val="none" w:sz="0" w:space="0" w:color="auto"/>
                    <w:left w:val="none" w:sz="0" w:space="0" w:color="auto"/>
                    <w:bottom w:val="none" w:sz="0" w:space="0" w:color="auto"/>
                    <w:right w:val="none" w:sz="0" w:space="0" w:color="auto"/>
                  </w:divBdr>
                </w:div>
                <w:div w:id="2047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4023">
          <w:marLeft w:val="75"/>
          <w:marRight w:val="75"/>
          <w:marTop w:val="0"/>
          <w:marBottom w:val="0"/>
          <w:divBdr>
            <w:top w:val="none" w:sz="0" w:space="0" w:color="auto"/>
            <w:left w:val="none" w:sz="0" w:space="0" w:color="auto"/>
            <w:bottom w:val="none" w:sz="0" w:space="0" w:color="auto"/>
            <w:right w:val="none" w:sz="0" w:space="0" w:color="auto"/>
          </w:divBdr>
          <w:divsChild>
            <w:div w:id="461923584">
              <w:marLeft w:val="0"/>
              <w:marRight w:val="0"/>
              <w:marTop w:val="0"/>
              <w:marBottom w:val="0"/>
              <w:divBdr>
                <w:top w:val="none" w:sz="0" w:space="0" w:color="auto"/>
                <w:left w:val="none" w:sz="0" w:space="0" w:color="auto"/>
                <w:bottom w:val="none" w:sz="0" w:space="0" w:color="auto"/>
                <w:right w:val="none" w:sz="0" w:space="0" w:color="auto"/>
              </w:divBdr>
              <w:divsChild>
                <w:div w:id="128787236">
                  <w:marLeft w:val="0"/>
                  <w:marRight w:val="0"/>
                  <w:marTop w:val="0"/>
                  <w:marBottom w:val="0"/>
                  <w:divBdr>
                    <w:top w:val="none" w:sz="0" w:space="0" w:color="auto"/>
                    <w:left w:val="none" w:sz="0" w:space="0" w:color="auto"/>
                    <w:bottom w:val="none" w:sz="0" w:space="0" w:color="auto"/>
                    <w:right w:val="none" w:sz="0" w:space="0" w:color="auto"/>
                  </w:divBdr>
                </w:div>
                <w:div w:id="645819723">
                  <w:marLeft w:val="0"/>
                  <w:marRight w:val="0"/>
                  <w:marTop w:val="0"/>
                  <w:marBottom w:val="0"/>
                  <w:divBdr>
                    <w:top w:val="none" w:sz="0" w:space="0" w:color="auto"/>
                    <w:left w:val="none" w:sz="0" w:space="0" w:color="auto"/>
                    <w:bottom w:val="none" w:sz="0" w:space="0" w:color="auto"/>
                    <w:right w:val="none" w:sz="0" w:space="0" w:color="auto"/>
                  </w:divBdr>
                  <w:divsChild>
                    <w:div w:id="2105373858">
                      <w:marLeft w:val="0"/>
                      <w:marRight w:val="0"/>
                      <w:marTop w:val="0"/>
                      <w:marBottom w:val="0"/>
                      <w:divBdr>
                        <w:top w:val="none" w:sz="0" w:space="0" w:color="auto"/>
                        <w:left w:val="none" w:sz="0" w:space="0" w:color="auto"/>
                        <w:bottom w:val="none" w:sz="0" w:space="0" w:color="auto"/>
                        <w:right w:val="none" w:sz="0" w:space="0" w:color="auto"/>
                      </w:divBdr>
                      <w:divsChild>
                        <w:div w:id="126315976">
                          <w:marLeft w:val="0"/>
                          <w:marRight w:val="0"/>
                          <w:marTop w:val="0"/>
                          <w:marBottom w:val="0"/>
                          <w:divBdr>
                            <w:top w:val="none" w:sz="0" w:space="0" w:color="auto"/>
                            <w:left w:val="none" w:sz="0" w:space="0" w:color="auto"/>
                            <w:bottom w:val="none" w:sz="0" w:space="0" w:color="auto"/>
                            <w:right w:val="none" w:sz="0" w:space="0" w:color="auto"/>
                          </w:divBdr>
                        </w:div>
                        <w:div w:id="1028726629">
                          <w:marLeft w:val="0"/>
                          <w:marRight w:val="0"/>
                          <w:marTop w:val="0"/>
                          <w:marBottom w:val="0"/>
                          <w:divBdr>
                            <w:top w:val="none" w:sz="0" w:space="0" w:color="auto"/>
                            <w:left w:val="none" w:sz="0" w:space="0" w:color="auto"/>
                            <w:bottom w:val="none" w:sz="0" w:space="0" w:color="auto"/>
                            <w:right w:val="none" w:sz="0" w:space="0" w:color="auto"/>
                          </w:divBdr>
                        </w:div>
                        <w:div w:id="19677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29434">
      <w:bodyDiv w:val="1"/>
      <w:marLeft w:val="0"/>
      <w:marRight w:val="0"/>
      <w:marTop w:val="0"/>
      <w:marBottom w:val="0"/>
      <w:divBdr>
        <w:top w:val="none" w:sz="0" w:space="0" w:color="auto"/>
        <w:left w:val="none" w:sz="0" w:space="0" w:color="auto"/>
        <w:bottom w:val="none" w:sz="0" w:space="0" w:color="auto"/>
        <w:right w:val="none" w:sz="0" w:space="0" w:color="auto"/>
      </w:divBdr>
    </w:div>
    <w:div w:id="1144740234">
      <w:bodyDiv w:val="1"/>
      <w:marLeft w:val="0"/>
      <w:marRight w:val="0"/>
      <w:marTop w:val="0"/>
      <w:marBottom w:val="0"/>
      <w:divBdr>
        <w:top w:val="none" w:sz="0" w:space="0" w:color="auto"/>
        <w:left w:val="none" w:sz="0" w:space="0" w:color="auto"/>
        <w:bottom w:val="none" w:sz="0" w:space="0" w:color="auto"/>
        <w:right w:val="none" w:sz="0" w:space="0" w:color="auto"/>
      </w:divBdr>
    </w:div>
    <w:div w:id="1145120757">
      <w:bodyDiv w:val="1"/>
      <w:marLeft w:val="0"/>
      <w:marRight w:val="0"/>
      <w:marTop w:val="0"/>
      <w:marBottom w:val="0"/>
      <w:divBdr>
        <w:top w:val="none" w:sz="0" w:space="0" w:color="auto"/>
        <w:left w:val="none" w:sz="0" w:space="0" w:color="auto"/>
        <w:bottom w:val="none" w:sz="0" w:space="0" w:color="auto"/>
        <w:right w:val="none" w:sz="0" w:space="0" w:color="auto"/>
      </w:divBdr>
    </w:div>
    <w:div w:id="1168785259">
      <w:bodyDiv w:val="1"/>
      <w:marLeft w:val="0"/>
      <w:marRight w:val="0"/>
      <w:marTop w:val="0"/>
      <w:marBottom w:val="0"/>
      <w:divBdr>
        <w:top w:val="none" w:sz="0" w:space="0" w:color="auto"/>
        <w:left w:val="none" w:sz="0" w:space="0" w:color="auto"/>
        <w:bottom w:val="none" w:sz="0" w:space="0" w:color="auto"/>
        <w:right w:val="none" w:sz="0" w:space="0" w:color="auto"/>
      </w:divBdr>
    </w:div>
    <w:div w:id="1198543567">
      <w:bodyDiv w:val="1"/>
      <w:marLeft w:val="0"/>
      <w:marRight w:val="0"/>
      <w:marTop w:val="0"/>
      <w:marBottom w:val="0"/>
      <w:divBdr>
        <w:top w:val="none" w:sz="0" w:space="0" w:color="auto"/>
        <w:left w:val="none" w:sz="0" w:space="0" w:color="auto"/>
        <w:bottom w:val="none" w:sz="0" w:space="0" w:color="auto"/>
        <w:right w:val="none" w:sz="0" w:space="0" w:color="auto"/>
      </w:divBdr>
    </w:div>
    <w:div w:id="1276016563">
      <w:bodyDiv w:val="1"/>
      <w:marLeft w:val="0"/>
      <w:marRight w:val="0"/>
      <w:marTop w:val="0"/>
      <w:marBottom w:val="0"/>
      <w:divBdr>
        <w:top w:val="none" w:sz="0" w:space="0" w:color="auto"/>
        <w:left w:val="none" w:sz="0" w:space="0" w:color="auto"/>
        <w:bottom w:val="none" w:sz="0" w:space="0" w:color="auto"/>
        <w:right w:val="none" w:sz="0" w:space="0" w:color="auto"/>
      </w:divBdr>
    </w:div>
    <w:div w:id="1284384044">
      <w:bodyDiv w:val="1"/>
      <w:marLeft w:val="0"/>
      <w:marRight w:val="0"/>
      <w:marTop w:val="0"/>
      <w:marBottom w:val="0"/>
      <w:divBdr>
        <w:top w:val="none" w:sz="0" w:space="0" w:color="auto"/>
        <w:left w:val="none" w:sz="0" w:space="0" w:color="auto"/>
        <w:bottom w:val="none" w:sz="0" w:space="0" w:color="auto"/>
        <w:right w:val="none" w:sz="0" w:space="0" w:color="auto"/>
      </w:divBdr>
    </w:div>
    <w:div w:id="1435323032">
      <w:bodyDiv w:val="1"/>
      <w:marLeft w:val="0"/>
      <w:marRight w:val="0"/>
      <w:marTop w:val="0"/>
      <w:marBottom w:val="0"/>
      <w:divBdr>
        <w:top w:val="none" w:sz="0" w:space="0" w:color="auto"/>
        <w:left w:val="none" w:sz="0" w:space="0" w:color="auto"/>
        <w:bottom w:val="none" w:sz="0" w:space="0" w:color="auto"/>
        <w:right w:val="none" w:sz="0" w:space="0" w:color="auto"/>
      </w:divBdr>
    </w:div>
    <w:div w:id="1514300576">
      <w:bodyDiv w:val="1"/>
      <w:marLeft w:val="0"/>
      <w:marRight w:val="0"/>
      <w:marTop w:val="0"/>
      <w:marBottom w:val="0"/>
      <w:divBdr>
        <w:top w:val="none" w:sz="0" w:space="0" w:color="auto"/>
        <w:left w:val="none" w:sz="0" w:space="0" w:color="auto"/>
        <w:bottom w:val="none" w:sz="0" w:space="0" w:color="auto"/>
        <w:right w:val="none" w:sz="0" w:space="0" w:color="auto"/>
      </w:divBdr>
    </w:div>
    <w:div w:id="1671837250">
      <w:bodyDiv w:val="1"/>
      <w:marLeft w:val="0"/>
      <w:marRight w:val="0"/>
      <w:marTop w:val="0"/>
      <w:marBottom w:val="0"/>
      <w:divBdr>
        <w:top w:val="none" w:sz="0" w:space="0" w:color="auto"/>
        <w:left w:val="none" w:sz="0" w:space="0" w:color="auto"/>
        <w:bottom w:val="none" w:sz="0" w:space="0" w:color="auto"/>
        <w:right w:val="none" w:sz="0" w:space="0" w:color="auto"/>
      </w:divBdr>
    </w:div>
    <w:div w:id="1807622072">
      <w:bodyDiv w:val="1"/>
      <w:marLeft w:val="0"/>
      <w:marRight w:val="0"/>
      <w:marTop w:val="0"/>
      <w:marBottom w:val="0"/>
      <w:divBdr>
        <w:top w:val="none" w:sz="0" w:space="0" w:color="auto"/>
        <w:left w:val="none" w:sz="0" w:space="0" w:color="auto"/>
        <w:bottom w:val="none" w:sz="0" w:space="0" w:color="auto"/>
        <w:right w:val="none" w:sz="0" w:space="0" w:color="auto"/>
      </w:divBdr>
    </w:div>
    <w:div w:id="1828471712">
      <w:bodyDiv w:val="1"/>
      <w:marLeft w:val="0"/>
      <w:marRight w:val="0"/>
      <w:marTop w:val="0"/>
      <w:marBottom w:val="0"/>
      <w:divBdr>
        <w:top w:val="none" w:sz="0" w:space="0" w:color="auto"/>
        <w:left w:val="none" w:sz="0" w:space="0" w:color="auto"/>
        <w:bottom w:val="none" w:sz="0" w:space="0" w:color="auto"/>
        <w:right w:val="none" w:sz="0" w:space="0" w:color="auto"/>
      </w:divBdr>
    </w:div>
    <w:div w:id="1848328152">
      <w:bodyDiv w:val="1"/>
      <w:marLeft w:val="0"/>
      <w:marRight w:val="0"/>
      <w:marTop w:val="0"/>
      <w:marBottom w:val="0"/>
      <w:divBdr>
        <w:top w:val="none" w:sz="0" w:space="0" w:color="auto"/>
        <w:left w:val="none" w:sz="0" w:space="0" w:color="auto"/>
        <w:bottom w:val="none" w:sz="0" w:space="0" w:color="auto"/>
        <w:right w:val="none" w:sz="0" w:space="0" w:color="auto"/>
      </w:divBdr>
    </w:div>
    <w:div w:id="1868060493">
      <w:bodyDiv w:val="1"/>
      <w:marLeft w:val="0"/>
      <w:marRight w:val="0"/>
      <w:marTop w:val="0"/>
      <w:marBottom w:val="0"/>
      <w:divBdr>
        <w:top w:val="none" w:sz="0" w:space="0" w:color="auto"/>
        <w:left w:val="none" w:sz="0" w:space="0" w:color="auto"/>
        <w:bottom w:val="none" w:sz="0" w:space="0" w:color="auto"/>
        <w:right w:val="none" w:sz="0" w:space="0" w:color="auto"/>
      </w:divBdr>
    </w:div>
    <w:div w:id="1907835063">
      <w:bodyDiv w:val="1"/>
      <w:marLeft w:val="0"/>
      <w:marRight w:val="0"/>
      <w:marTop w:val="0"/>
      <w:marBottom w:val="0"/>
      <w:divBdr>
        <w:top w:val="none" w:sz="0" w:space="0" w:color="auto"/>
        <w:left w:val="none" w:sz="0" w:space="0" w:color="auto"/>
        <w:bottom w:val="none" w:sz="0" w:space="0" w:color="auto"/>
        <w:right w:val="none" w:sz="0" w:space="0" w:color="auto"/>
      </w:divBdr>
    </w:div>
    <w:div w:id="1941253547">
      <w:bodyDiv w:val="1"/>
      <w:marLeft w:val="0"/>
      <w:marRight w:val="0"/>
      <w:marTop w:val="0"/>
      <w:marBottom w:val="0"/>
      <w:divBdr>
        <w:top w:val="none" w:sz="0" w:space="0" w:color="auto"/>
        <w:left w:val="none" w:sz="0" w:space="0" w:color="auto"/>
        <w:bottom w:val="none" w:sz="0" w:space="0" w:color="auto"/>
        <w:right w:val="none" w:sz="0" w:space="0" w:color="auto"/>
      </w:divBdr>
    </w:div>
    <w:div w:id="1944993927">
      <w:bodyDiv w:val="1"/>
      <w:marLeft w:val="0"/>
      <w:marRight w:val="0"/>
      <w:marTop w:val="0"/>
      <w:marBottom w:val="0"/>
      <w:divBdr>
        <w:top w:val="none" w:sz="0" w:space="0" w:color="auto"/>
        <w:left w:val="none" w:sz="0" w:space="0" w:color="auto"/>
        <w:bottom w:val="none" w:sz="0" w:space="0" w:color="auto"/>
        <w:right w:val="none" w:sz="0" w:space="0" w:color="auto"/>
      </w:divBdr>
    </w:div>
    <w:div w:id="1983578592">
      <w:bodyDiv w:val="1"/>
      <w:marLeft w:val="0"/>
      <w:marRight w:val="0"/>
      <w:marTop w:val="0"/>
      <w:marBottom w:val="0"/>
      <w:divBdr>
        <w:top w:val="none" w:sz="0" w:space="0" w:color="auto"/>
        <w:left w:val="none" w:sz="0" w:space="0" w:color="auto"/>
        <w:bottom w:val="none" w:sz="0" w:space="0" w:color="auto"/>
        <w:right w:val="none" w:sz="0" w:space="0" w:color="auto"/>
      </w:divBdr>
    </w:div>
    <w:div w:id="2031179526">
      <w:bodyDiv w:val="1"/>
      <w:marLeft w:val="0"/>
      <w:marRight w:val="0"/>
      <w:marTop w:val="0"/>
      <w:marBottom w:val="0"/>
      <w:divBdr>
        <w:top w:val="none" w:sz="0" w:space="0" w:color="auto"/>
        <w:left w:val="none" w:sz="0" w:space="0" w:color="auto"/>
        <w:bottom w:val="none" w:sz="0" w:space="0" w:color="auto"/>
        <w:right w:val="none" w:sz="0" w:space="0" w:color="auto"/>
      </w:divBdr>
    </w:div>
    <w:div w:id="208440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be9c486eb8b09a4a3a777845861964c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1724f970548866806c3ef374f12d5d5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Approver xmlns="b8e9ecd3-49dc-4355-a3de-944263e3bf65" xsi:nil="true"/>
    <_Flow_SignoffStatus xmlns="b8e9ecd3-49dc-4355-a3de-944263e3bf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E0F8-A91F-41D5-A034-E9395D1D9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F94CB-BA93-43AD-8EB9-50E1EEF6A103}">
  <ds:schemaRefs>
    <ds:schemaRef ds:uri="http://schemas.microsoft.com/sharepoint/v3/contenttype/forms"/>
  </ds:schemaRefs>
</ds:datastoreItem>
</file>

<file path=customXml/itemProps3.xml><?xml version="1.0" encoding="utf-8"?>
<ds:datastoreItem xmlns:ds="http://schemas.openxmlformats.org/officeDocument/2006/customXml" ds:itemID="{F7A9811D-ABE7-4BE2-8A23-222E7C615310}">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1D3E92AC-AA9F-4BD8-84DF-EA46819B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17298</Words>
  <Characters>98603</Characters>
  <DocSecurity>0</DocSecurity>
  <Lines>821</Lines>
  <Paragraphs>231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2026-01-05T11:48:00Z</cp:lastPrinted>
  <dcterms:created xsi:type="dcterms:W3CDTF">2026-06-05T10:18:00Z</dcterms:created>
  <dcterms:modified xsi:type="dcterms:W3CDTF">2026-06-08T15:53:00Z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0x010100E29FEADFC340DA40B2139D4BBB1A48D7</vt:lpwstr>
  </property>
  <property fmtid="{D5CDD505-2E9C-101B-9397-08002B2CF9AE}" pid="4" name="MSIP_Label_5097a60d-5525-435b-8989-8eb48ac0c8cd_Enabled">
    <vt:lpwstr>true</vt:lpwstr>
  </property>
  <property fmtid="{D5CDD505-2E9C-101B-9397-08002B2CF9AE}" pid="5" name="MSIP_Label_5097a60d-5525-435b-8989-8eb48ac0c8cd_SetDate">
    <vt:lpwstr>2026-06-05T13:28:05Z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7d016561-47f8-4a7f-904c-07819fc12dc7</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