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C2FE4" w14:textId="37BBE15C" w:rsidR="00C92EF2" w:rsidRPr="006400DE" w:rsidRDefault="00C92EF2" w:rsidP="00C7094C">
      <w:pPr>
        <w:jc w:val="center"/>
        <w:rPr>
          <w:rFonts w:ascii="Times New Roman" w:hAnsi="Times New Roman"/>
          <w:b/>
          <w:bCs/>
          <w:iCs/>
          <w:smallCaps/>
          <w:kern w:val="28"/>
          <w:sz w:val="24"/>
          <w:szCs w:val="24"/>
        </w:rPr>
      </w:pPr>
      <w:r w:rsidRPr="006400DE">
        <w:rPr>
          <w:rFonts w:ascii="Times New Roman" w:hAnsi="Times New Roman"/>
          <w:b/>
          <w:bCs/>
          <w:iCs/>
          <w:smallCaps/>
          <w:kern w:val="28"/>
          <w:sz w:val="24"/>
          <w:szCs w:val="24"/>
        </w:rPr>
        <w:t>Proposta di regolamento che semplifica il quadro legislativo del settore digitale</w:t>
      </w:r>
      <w:r w:rsidR="00836154" w:rsidRPr="006400DE">
        <w:rPr>
          <w:rFonts w:ascii="Times New Roman" w:hAnsi="Times New Roman"/>
          <w:b/>
          <w:bCs/>
          <w:iCs/>
          <w:smallCaps/>
          <w:kern w:val="28"/>
          <w:sz w:val="24"/>
          <w:szCs w:val="24"/>
        </w:rPr>
        <w:t xml:space="preserve"> (</w:t>
      </w:r>
      <w:r w:rsidR="0084187F" w:rsidRPr="006400DE">
        <w:rPr>
          <w:rFonts w:ascii="Times New Roman" w:hAnsi="Times New Roman"/>
          <w:b/>
          <w:bCs/>
          <w:i/>
          <w:smallCaps/>
          <w:kern w:val="28"/>
          <w:sz w:val="24"/>
          <w:szCs w:val="24"/>
        </w:rPr>
        <w:t>Digital Omnibus</w:t>
      </w:r>
      <w:r w:rsidR="00836154" w:rsidRPr="006400DE">
        <w:rPr>
          <w:rFonts w:ascii="Times New Roman" w:hAnsi="Times New Roman"/>
          <w:b/>
          <w:bCs/>
          <w:iCs/>
          <w:smallCaps/>
          <w:kern w:val="28"/>
          <w:sz w:val="24"/>
          <w:szCs w:val="24"/>
        </w:rPr>
        <w:t>)</w:t>
      </w:r>
    </w:p>
    <w:p w14:paraId="06691054" w14:textId="0759215A" w:rsidR="00C92EF2" w:rsidRPr="006400DE" w:rsidRDefault="00C92EF2" w:rsidP="00C7094C">
      <w:pPr>
        <w:jc w:val="center"/>
        <w:rPr>
          <w:rFonts w:ascii="Times New Roman" w:hAnsi="Times New Roman"/>
          <w:b/>
          <w:bCs/>
          <w:iCs/>
          <w:smallCaps/>
          <w:kern w:val="28"/>
          <w:sz w:val="24"/>
          <w:szCs w:val="24"/>
        </w:rPr>
      </w:pPr>
      <w:r w:rsidRPr="006400DE">
        <w:rPr>
          <w:rFonts w:ascii="Times New Roman" w:hAnsi="Times New Roman"/>
          <w:b/>
          <w:bCs/>
          <w:iCs/>
          <w:smallCaps/>
          <w:kern w:val="28"/>
          <w:sz w:val="24"/>
          <w:szCs w:val="24"/>
        </w:rPr>
        <w:t>(</w:t>
      </w:r>
      <w:proofErr w:type="gramStart"/>
      <w:r w:rsidRPr="006400DE">
        <w:rPr>
          <w:rFonts w:ascii="Times New Roman" w:hAnsi="Times New Roman"/>
          <w:b/>
          <w:bCs/>
          <w:iCs/>
          <w:smallCaps/>
          <w:kern w:val="28"/>
          <w:sz w:val="24"/>
          <w:szCs w:val="24"/>
        </w:rPr>
        <w:t>COM(</w:t>
      </w:r>
      <w:proofErr w:type="gramEnd"/>
      <w:r w:rsidRPr="006400DE">
        <w:rPr>
          <w:rFonts w:ascii="Times New Roman" w:hAnsi="Times New Roman"/>
          <w:b/>
          <w:bCs/>
          <w:iCs/>
          <w:smallCaps/>
          <w:kern w:val="28"/>
          <w:sz w:val="24"/>
          <w:szCs w:val="24"/>
        </w:rPr>
        <w:t>2025)837</w:t>
      </w:r>
      <w:r w:rsidR="00B014ED" w:rsidRPr="006400DE">
        <w:rPr>
          <w:rFonts w:ascii="Times New Roman" w:hAnsi="Times New Roman"/>
          <w:b/>
          <w:bCs/>
          <w:iCs/>
          <w:smallCaps/>
          <w:kern w:val="28"/>
          <w:sz w:val="24"/>
          <w:szCs w:val="24"/>
        </w:rPr>
        <w:t>)</w:t>
      </w:r>
    </w:p>
    <w:p w14:paraId="1105819C" w14:textId="77777777" w:rsidR="00C90AA6" w:rsidRPr="006400DE" w:rsidRDefault="00C90AA6" w:rsidP="00993D1D">
      <w:pPr>
        <w:ind w:firstLine="0"/>
        <w:rPr>
          <w:rFonts w:ascii="Times New Roman" w:eastAsia="Arial" w:hAnsi="Times New Roman"/>
          <w:b/>
          <w:smallCaps/>
          <w:kern w:val="28"/>
          <w:sz w:val="24"/>
          <w:szCs w:val="24"/>
        </w:rPr>
      </w:pPr>
    </w:p>
    <w:p w14:paraId="1B49FAF7" w14:textId="0D860156" w:rsidR="00C90AA6" w:rsidRPr="006400DE" w:rsidRDefault="00F625A2" w:rsidP="00D110C7">
      <w:pPr>
        <w:ind w:firstLine="0"/>
        <w:jc w:val="center"/>
        <w:rPr>
          <w:rFonts w:ascii="Times New Roman" w:eastAsia="Arial" w:hAnsi="Times New Roman"/>
          <w:b/>
          <w:sz w:val="24"/>
          <w:szCs w:val="24"/>
        </w:rPr>
      </w:pPr>
      <w:r w:rsidRPr="006400DE">
        <w:rPr>
          <w:rFonts w:ascii="Times New Roman" w:hAnsi="Times New Roman"/>
          <w:b/>
          <w:i/>
          <w:sz w:val="24"/>
          <w:szCs w:val="24"/>
        </w:rPr>
        <w:t>Proposta di documento finale</w:t>
      </w:r>
      <w:r w:rsidR="00836154" w:rsidRPr="006400DE">
        <w:rPr>
          <w:rFonts w:ascii="Times New Roman" w:hAnsi="Times New Roman"/>
          <w:b/>
          <w:i/>
          <w:sz w:val="24"/>
          <w:szCs w:val="24"/>
        </w:rPr>
        <w:t xml:space="preserve"> </w:t>
      </w:r>
    </w:p>
    <w:p w14:paraId="714E2162" w14:textId="77777777" w:rsidR="00C90AA6" w:rsidRPr="006400DE" w:rsidRDefault="00C90AA6" w:rsidP="00C90AA6">
      <w:pPr>
        <w:jc w:val="center"/>
        <w:rPr>
          <w:rFonts w:ascii="Times New Roman" w:hAnsi="Times New Roman"/>
          <w:b/>
          <w:color w:val="000000" w:themeColor="text1"/>
          <w:sz w:val="24"/>
          <w:szCs w:val="24"/>
          <w:u w:val="single"/>
        </w:rPr>
      </w:pPr>
    </w:p>
    <w:p w14:paraId="5D63ABE8" w14:textId="4016A959" w:rsidR="00F276C6" w:rsidRPr="006400DE" w:rsidRDefault="00C90AA6" w:rsidP="00D110C7">
      <w:pPr>
        <w:spacing w:before="0" w:after="120" w:line="300" w:lineRule="atLeast"/>
        <w:ind w:firstLine="0"/>
        <w:rPr>
          <w:rFonts w:ascii="Times New Roman" w:eastAsia="Arial" w:hAnsi="Times New Roman"/>
          <w:sz w:val="24"/>
          <w:szCs w:val="24"/>
        </w:rPr>
      </w:pPr>
      <w:r w:rsidRPr="006400DE">
        <w:rPr>
          <w:rFonts w:ascii="Times New Roman" w:eastAsia="Arial" w:hAnsi="Times New Roman"/>
          <w:sz w:val="24"/>
          <w:szCs w:val="24"/>
        </w:rPr>
        <w:t xml:space="preserve">La </w:t>
      </w:r>
      <w:r w:rsidR="00CC1152" w:rsidRPr="006400DE">
        <w:rPr>
          <w:rFonts w:ascii="Times New Roman" w:eastAsia="Arial" w:hAnsi="Times New Roman"/>
          <w:sz w:val="24"/>
          <w:szCs w:val="24"/>
        </w:rPr>
        <w:t xml:space="preserve">IX </w:t>
      </w:r>
      <w:r w:rsidRPr="006400DE">
        <w:rPr>
          <w:rFonts w:ascii="Times New Roman" w:eastAsia="Arial" w:hAnsi="Times New Roman"/>
          <w:sz w:val="24"/>
          <w:szCs w:val="24"/>
        </w:rPr>
        <w:t xml:space="preserve">Commissione </w:t>
      </w:r>
      <w:r w:rsidR="00975F6E" w:rsidRPr="006400DE">
        <w:rPr>
          <w:rFonts w:ascii="Times New Roman" w:eastAsia="Arial" w:hAnsi="Times New Roman"/>
          <w:sz w:val="24"/>
          <w:szCs w:val="24"/>
        </w:rPr>
        <w:t>(Traspo</w:t>
      </w:r>
      <w:r w:rsidR="007B681E" w:rsidRPr="006400DE">
        <w:rPr>
          <w:rFonts w:ascii="Times New Roman" w:eastAsia="Arial" w:hAnsi="Times New Roman"/>
          <w:sz w:val="24"/>
          <w:szCs w:val="24"/>
        </w:rPr>
        <w:t>rti, Poste e Telecomunicazioni),</w:t>
      </w:r>
    </w:p>
    <w:p w14:paraId="53C6BC85" w14:textId="77777777" w:rsidR="00F276C6" w:rsidRPr="006400DE" w:rsidRDefault="00F276C6" w:rsidP="00D110C7">
      <w:pPr>
        <w:spacing w:before="0" w:after="120" w:line="300" w:lineRule="atLeast"/>
        <w:rPr>
          <w:rFonts w:ascii="Times New Roman" w:eastAsia="Arial" w:hAnsi="Times New Roman"/>
          <w:sz w:val="24"/>
          <w:szCs w:val="24"/>
        </w:rPr>
      </w:pPr>
    </w:p>
    <w:p w14:paraId="4F923F90" w14:textId="031FC488" w:rsidR="00D8643C" w:rsidRPr="006400DE" w:rsidRDefault="00C90AA6" w:rsidP="00D110C7">
      <w:pPr>
        <w:spacing w:before="0" w:after="120" w:line="300" w:lineRule="atLeast"/>
        <w:rPr>
          <w:rFonts w:ascii="Times New Roman" w:eastAsia="Arial" w:hAnsi="Times New Roman"/>
          <w:sz w:val="24"/>
          <w:szCs w:val="24"/>
          <w:highlight w:val="yellow"/>
        </w:rPr>
      </w:pPr>
      <w:r w:rsidRPr="006400DE">
        <w:rPr>
          <w:rFonts w:ascii="Times New Roman" w:eastAsia="Arial" w:hAnsi="Times New Roman"/>
          <w:sz w:val="24"/>
          <w:szCs w:val="24"/>
        </w:rPr>
        <w:t>esaminat</w:t>
      </w:r>
      <w:r w:rsidR="00D8643C" w:rsidRPr="006400DE">
        <w:rPr>
          <w:rFonts w:ascii="Times New Roman" w:eastAsia="Arial" w:hAnsi="Times New Roman"/>
          <w:sz w:val="24"/>
          <w:szCs w:val="24"/>
        </w:rPr>
        <w:t>a</w:t>
      </w:r>
      <w:r w:rsidRPr="006400DE">
        <w:rPr>
          <w:rFonts w:ascii="Times New Roman" w:eastAsia="Arial" w:hAnsi="Times New Roman"/>
          <w:sz w:val="24"/>
          <w:szCs w:val="24"/>
        </w:rPr>
        <w:t>, ai sensi dell’articolo 127, comma 1, del Regolamento</w:t>
      </w:r>
      <w:r w:rsidR="00C7094C" w:rsidRPr="006400DE">
        <w:rPr>
          <w:rFonts w:ascii="Times New Roman" w:eastAsia="Arial" w:hAnsi="Times New Roman"/>
          <w:sz w:val="24"/>
          <w:szCs w:val="24"/>
        </w:rPr>
        <w:t xml:space="preserve"> della Camera dei deputati,</w:t>
      </w:r>
      <w:r w:rsidRPr="006400DE">
        <w:rPr>
          <w:rFonts w:ascii="Times New Roman" w:eastAsia="Arial" w:hAnsi="Times New Roman"/>
          <w:sz w:val="24"/>
          <w:szCs w:val="24"/>
        </w:rPr>
        <w:t xml:space="preserve"> </w:t>
      </w:r>
      <w:r w:rsidR="00C7094C" w:rsidRPr="006400DE">
        <w:rPr>
          <w:rFonts w:ascii="Times New Roman" w:eastAsia="Arial" w:hAnsi="Times New Roman"/>
          <w:sz w:val="24"/>
          <w:szCs w:val="24"/>
        </w:rPr>
        <w:t xml:space="preserve">la proposta di regolamento </w:t>
      </w:r>
      <w:r w:rsidR="00D61082" w:rsidRPr="006400DE">
        <w:rPr>
          <w:rFonts w:ascii="Times New Roman" w:eastAsia="Arial" w:hAnsi="Times New Roman"/>
          <w:sz w:val="24"/>
          <w:szCs w:val="24"/>
        </w:rPr>
        <w:t>del Parlamento europeo e del C</w:t>
      </w:r>
      <w:r w:rsidR="00FE5227" w:rsidRPr="006400DE">
        <w:rPr>
          <w:rFonts w:ascii="Times New Roman" w:eastAsia="Arial" w:hAnsi="Times New Roman"/>
          <w:sz w:val="24"/>
          <w:szCs w:val="24"/>
        </w:rPr>
        <w:t>onsiglio</w:t>
      </w:r>
      <w:r w:rsidR="00D8643C" w:rsidRPr="006400DE">
        <w:rPr>
          <w:rFonts w:ascii="Times New Roman" w:eastAsia="Arial" w:hAnsi="Times New Roman"/>
          <w:sz w:val="24"/>
          <w:szCs w:val="24"/>
        </w:rPr>
        <w:t xml:space="preserve"> che modifica i regolamenti (UE) 2016/679, (UE) 2018/1724, (UE) 2018/1725 e (UE) 2023/2854 e le direttive 2002/58/CE, (UE) 2022/2555 e (UE) 2022/2557 per quanto riguarda la semplificazione del quadro legislativo nel settore digitale e che abroga i regolamenti (UE) 2018/1807, (UE) 2019/1150 e (UE) 2022/868 e la direttiva (UE) 2019/102;</w:t>
      </w:r>
    </w:p>
    <w:p w14:paraId="65993315" w14:textId="77777777" w:rsidR="00EB1C0C" w:rsidRPr="006400DE" w:rsidRDefault="00EB1C0C" w:rsidP="00D110C7">
      <w:pPr>
        <w:spacing w:before="0" w:after="120" w:line="300" w:lineRule="atLeast"/>
        <w:rPr>
          <w:rFonts w:ascii="Times New Roman" w:eastAsia="Arial" w:hAnsi="Times New Roman"/>
          <w:sz w:val="24"/>
          <w:szCs w:val="24"/>
        </w:rPr>
      </w:pPr>
    </w:p>
    <w:p w14:paraId="6205730D" w14:textId="36549307" w:rsidR="00FE5227" w:rsidRPr="006400DE" w:rsidRDefault="00FE5227"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tenuto conto degli elementi di conoscenza e di valutazione emersi nel corso delle audizioni svolte nell’ambito dell’esame dell</w:t>
      </w:r>
      <w:r w:rsidR="00D8643C" w:rsidRPr="006400DE">
        <w:rPr>
          <w:rFonts w:ascii="Times New Roman" w:eastAsia="Arial" w:hAnsi="Times New Roman"/>
          <w:sz w:val="24"/>
          <w:szCs w:val="24"/>
        </w:rPr>
        <w:t>a</w:t>
      </w:r>
      <w:r w:rsidRPr="006400DE">
        <w:rPr>
          <w:rFonts w:ascii="Times New Roman" w:eastAsia="Arial" w:hAnsi="Times New Roman"/>
          <w:sz w:val="24"/>
          <w:szCs w:val="24"/>
        </w:rPr>
        <w:t xml:space="preserve"> propost</w:t>
      </w:r>
      <w:r w:rsidR="00D8643C" w:rsidRPr="006400DE">
        <w:rPr>
          <w:rFonts w:ascii="Times New Roman" w:eastAsia="Arial" w:hAnsi="Times New Roman"/>
          <w:sz w:val="24"/>
          <w:szCs w:val="24"/>
        </w:rPr>
        <w:t>a</w:t>
      </w:r>
      <w:r w:rsidRPr="006400DE">
        <w:rPr>
          <w:rFonts w:ascii="Times New Roman" w:eastAsia="Arial" w:hAnsi="Times New Roman"/>
          <w:sz w:val="24"/>
          <w:szCs w:val="24"/>
        </w:rPr>
        <w:t>;</w:t>
      </w:r>
    </w:p>
    <w:p w14:paraId="3CE67932" w14:textId="77777777" w:rsidR="00EB1C0C" w:rsidRPr="006400DE" w:rsidRDefault="00EB1C0C" w:rsidP="00D110C7">
      <w:pPr>
        <w:spacing w:before="0" w:after="120" w:line="300" w:lineRule="atLeast"/>
        <w:rPr>
          <w:rFonts w:ascii="Times New Roman" w:eastAsia="Arial" w:hAnsi="Times New Roman"/>
          <w:sz w:val="24"/>
          <w:szCs w:val="24"/>
        </w:rPr>
      </w:pPr>
    </w:p>
    <w:p w14:paraId="061BB788" w14:textId="2BF548FB" w:rsidR="00FE5227" w:rsidRPr="006400DE" w:rsidRDefault="00F276C6"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 xml:space="preserve">considerati i </w:t>
      </w:r>
      <w:r w:rsidR="00FE5227" w:rsidRPr="006400DE">
        <w:rPr>
          <w:rFonts w:ascii="Times New Roman" w:eastAsia="Arial" w:hAnsi="Times New Roman"/>
          <w:sz w:val="24"/>
          <w:szCs w:val="24"/>
        </w:rPr>
        <w:t xml:space="preserve">rilievi formulati dalla </w:t>
      </w:r>
      <w:r w:rsidR="00CC1152" w:rsidRPr="006400DE">
        <w:rPr>
          <w:rFonts w:ascii="Times New Roman" w:eastAsia="Arial" w:hAnsi="Times New Roman"/>
          <w:sz w:val="24"/>
          <w:szCs w:val="24"/>
        </w:rPr>
        <w:t xml:space="preserve">XIV </w:t>
      </w:r>
      <w:r w:rsidR="00FE5227" w:rsidRPr="006400DE">
        <w:rPr>
          <w:rFonts w:ascii="Times New Roman" w:eastAsia="Arial" w:hAnsi="Times New Roman"/>
          <w:sz w:val="24"/>
          <w:szCs w:val="24"/>
        </w:rPr>
        <w:t xml:space="preserve">Commissione </w:t>
      </w:r>
      <w:r w:rsidR="00CC1152" w:rsidRPr="006400DE">
        <w:rPr>
          <w:rFonts w:ascii="Times New Roman" w:eastAsia="Arial" w:hAnsi="Times New Roman"/>
          <w:sz w:val="24"/>
          <w:szCs w:val="24"/>
        </w:rPr>
        <w:t>(</w:t>
      </w:r>
      <w:r w:rsidR="00FE5227" w:rsidRPr="006400DE">
        <w:rPr>
          <w:rFonts w:ascii="Times New Roman" w:eastAsia="Arial" w:hAnsi="Times New Roman"/>
          <w:sz w:val="24"/>
          <w:szCs w:val="24"/>
        </w:rPr>
        <w:t>Politiche dell’Unione europea</w:t>
      </w:r>
      <w:r w:rsidR="00CC1152" w:rsidRPr="006400DE">
        <w:rPr>
          <w:rFonts w:ascii="Times New Roman" w:eastAsia="Arial" w:hAnsi="Times New Roman"/>
          <w:sz w:val="24"/>
          <w:szCs w:val="24"/>
        </w:rPr>
        <w:t>)</w:t>
      </w:r>
      <w:r w:rsidR="00FE5227" w:rsidRPr="006400DE">
        <w:rPr>
          <w:rFonts w:ascii="Times New Roman" w:eastAsia="Arial" w:hAnsi="Times New Roman"/>
          <w:sz w:val="24"/>
          <w:szCs w:val="24"/>
        </w:rPr>
        <w:t xml:space="preserve"> </w:t>
      </w:r>
      <w:r w:rsidRPr="006400DE">
        <w:rPr>
          <w:rFonts w:ascii="Times New Roman" w:eastAsia="Arial" w:hAnsi="Times New Roman"/>
          <w:sz w:val="24"/>
          <w:szCs w:val="24"/>
        </w:rPr>
        <w:t xml:space="preserve">nel documento approvato </w:t>
      </w:r>
      <w:r w:rsidR="00EB1C0C" w:rsidRPr="006400DE">
        <w:rPr>
          <w:rFonts w:ascii="Times New Roman" w:eastAsia="Arial" w:hAnsi="Times New Roman"/>
          <w:sz w:val="24"/>
          <w:szCs w:val="24"/>
        </w:rPr>
        <w:t>il 2</w:t>
      </w:r>
      <w:r w:rsidR="00D8643C" w:rsidRPr="006400DE">
        <w:rPr>
          <w:rFonts w:ascii="Times New Roman" w:eastAsia="Arial" w:hAnsi="Times New Roman"/>
          <w:sz w:val="24"/>
          <w:szCs w:val="24"/>
        </w:rPr>
        <w:t>4 febbraio</w:t>
      </w:r>
      <w:r w:rsidRPr="006400DE">
        <w:rPr>
          <w:rFonts w:ascii="Times New Roman" w:eastAsia="Arial" w:hAnsi="Times New Roman"/>
          <w:sz w:val="24"/>
          <w:szCs w:val="24"/>
        </w:rPr>
        <w:t xml:space="preserve"> 202</w:t>
      </w:r>
      <w:r w:rsidR="00D8643C" w:rsidRPr="006400DE">
        <w:rPr>
          <w:rFonts w:ascii="Times New Roman" w:eastAsia="Arial" w:hAnsi="Times New Roman"/>
          <w:sz w:val="24"/>
          <w:szCs w:val="24"/>
        </w:rPr>
        <w:t>6</w:t>
      </w:r>
      <w:r w:rsidR="00EB1C0C" w:rsidRPr="006400DE">
        <w:rPr>
          <w:rFonts w:ascii="Times New Roman" w:eastAsia="Arial" w:hAnsi="Times New Roman"/>
          <w:sz w:val="24"/>
          <w:szCs w:val="24"/>
        </w:rPr>
        <w:t xml:space="preserve"> sulla proposta</w:t>
      </w:r>
      <w:r w:rsidRPr="006400DE">
        <w:rPr>
          <w:rFonts w:ascii="Times New Roman" w:eastAsia="Arial" w:hAnsi="Times New Roman"/>
          <w:sz w:val="24"/>
          <w:szCs w:val="24"/>
        </w:rPr>
        <w:t xml:space="preserve">, con particolare riguardo </w:t>
      </w:r>
      <w:r w:rsidR="00FE5227" w:rsidRPr="006400DE">
        <w:rPr>
          <w:rFonts w:ascii="Times New Roman" w:eastAsia="Arial" w:hAnsi="Times New Roman"/>
          <w:sz w:val="24"/>
          <w:szCs w:val="24"/>
        </w:rPr>
        <w:t>al rispetto del principio di attribuzione e alla conformità ai principi di sussidiarietà e proporzionalità;</w:t>
      </w:r>
    </w:p>
    <w:p w14:paraId="25A417DA" w14:textId="77777777" w:rsidR="00EB1C0C" w:rsidRPr="006400DE" w:rsidRDefault="00EB1C0C" w:rsidP="00D110C7">
      <w:pPr>
        <w:spacing w:before="0" w:after="120" w:line="300" w:lineRule="atLeast"/>
        <w:rPr>
          <w:rFonts w:ascii="Times New Roman" w:eastAsia="Arial" w:hAnsi="Times New Roman"/>
          <w:sz w:val="24"/>
          <w:szCs w:val="24"/>
        </w:rPr>
      </w:pPr>
    </w:p>
    <w:p w14:paraId="705C8EE8" w14:textId="6BAF9B0C" w:rsidR="00FE5227" w:rsidRPr="006400DE" w:rsidRDefault="00C119EA"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preso atto della risposta fornita dalla</w:t>
      </w:r>
      <w:r w:rsidR="00CC1152" w:rsidRPr="006400DE">
        <w:rPr>
          <w:rFonts w:ascii="Times New Roman" w:eastAsia="Arial" w:hAnsi="Times New Roman"/>
          <w:sz w:val="24"/>
          <w:szCs w:val="24"/>
        </w:rPr>
        <w:t xml:space="preserve"> </w:t>
      </w:r>
      <w:r w:rsidRPr="006400DE">
        <w:rPr>
          <w:rFonts w:ascii="Times New Roman" w:eastAsia="Arial" w:hAnsi="Times New Roman"/>
          <w:sz w:val="24"/>
          <w:szCs w:val="24"/>
        </w:rPr>
        <w:t>Commissione europ</w:t>
      </w:r>
      <w:r w:rsidR="007E3436" w:rsidRPr="006400DE">
        <w:rPr>
          <w:rFonts w:ascii="Times New Roman" w:eastAsia="Arial" w:hAnsi="Times New Roman"/>
          <w:sz w:val="24"/>
          <w:szCs w:val="24"/>
        </w:rPr>
        <w:t>ea alle osservazioni formulate, nell’ambito del dialogo politico, in risposta al</w:t>
      </w:r>
      <w:r w:rsidRPr="006400DE">
        <w:rPr>
          <w:rFonts w:ascii="Times New Roman" w:eastAsia="Arial" w:hAnsi="Times New Roman"/>
          <w:sz w:val="24"/>
          <w:szCs w:val="24"/>
        </w:rPr>
        <w:t xml:space="preserve"> documento a</w:t>
      </w:r>
      <w:r w:rsidR="007E3436" w:rsidRPr="006400DE">
        <w:rPr>
          <w:rFonts w:ascii="Times New Roman" w:eastAsia="Arial" w:hAnsi="Times New Roman"/>
          <w:sz w:val="24"/>
          <w:szCs w:val="24"/>
        </w:rPr>
        <w:t xml:space="preserve">pprovato </w:t>
      </w:r>
      <w:r w:rsidR="00EB1C0C" w:rsidRPr="006400DE">
        <w:rPr>
          <w:rFonts w:ascii="Times New Roman" w:eastAsia="Arial" w:hAnsi="Times New Roman"/>
          <w:sz w:val="24"/>
          <w:szCs w:val="24"/>
        </w:rPr>
        <w:t>dal</w:t>
      </w:r>
      <w:r w:rsidR="007E3436" w:rsidRPr="006400DE">
        <w:rPr>
          <w:rFonts w:ascii="Times New Roman" w:eastAsia="Arial" w:hAnsi="Times New Roman"/>
          <w:sz w:val="24"/>
          <w:szCs w:val="24"/>
        </w:rPr>
        <w:t xml:space="preserve">la </w:t>
      </w:r>
      <w:r w:rsidR="00CC1152" w:rsidRPr="006400DE">
        <w:rPr>
          <w:rFonts w:ascii="Times New Roman" w:eastAsia="Arial" w:hAnsi="Times New Roman"/>
          <w:sz w:val="24"/>
          <w:szCs w:val="24"/>
        </w:rPr>
        <w:t xml:space="preserve">XIV </w:t>
      </w:r>
      <w:r w:rsidR="007E3436" w:rsidRPr="006400DE">
        <w:rPr>
          <w:rFonts w:ascii="Times New Roman" w:eastAsia="Arial" w:hAnsi="Times New Roman"/>
          <w:sz w:val="24"/>
          <w:szCs w:val="24"/>
        </w:rPr>
        <w:t>Commissione</w:t>
      </w:r>
      <w:r w:rsidRPr="006400DE">
        <w:rPr>
          <w:rFonts w:ascii="Times New Roman" w:eastAsia="Arial" w:hAnsi="Times New Roman"/>
          <w:sz w:val="24"/>
          <w:szCs w:val="24"/>
        </w:rPr>
        <w:t>;</w:t>
      </w:r>
    </w:p>
    <w:p w14:paraId="5E31CD54" w14:textId="77777777" w:rsidR="00EB1C0C" w:rsidRPr="006400DE" w:rsidRDefault="00EB1C0C" w:rsidP="00D110C7">
      <w:pPr>
        <w:spacing w:before="0" w:after="120" w:line="300" w:lineRule="atLeast"/>
        <w:rPr>
          <w:rFonts w:ascii="Times New Roman" w:eastAsia="Arial" w:hAnsi="Times New Roman"/>
          <w:sz w:val="24"/>
          <w:szCs w:val="24"/>
        </w:rPr>
      </w:pPr>
    </w:p>
    <w:p w14:paraId="0856A868" w14:textId="53E96810" w:rsidR="00563190" w:rsidRPr="006400DE" w:rsidRDefault="00563190"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 xml:space="preserve">considerato che la Tabella di marcia “Un’Europa, Un mercato unico” del Parlamento europeo, del Consiglio dell’Unione e della Commissione europea prevede l’adozione della proposta entro la fine del 2026 e che la Presidenza cipriota intende giungere all’adozione di un orientamento generale </w:t>
      </w:r>
      <w:r w:rsidR="00AD63AB" w:rsidRPr="006400DE">
        <w:rPr>
          <w:rFonts w:ascii="Times New Roman" w:eastAsia="Arial" w:hAnsi="Times New Roman"/>
          <w:sz w:val="24"/>
          <w:szCs w:val="24"/>
        </w:rPr>
        <w:t xml:space="preserve">del Consiglio </w:t>
      </w:r>
      <w:r w:rsidRPr="006400DE">
        <w:rPr>
          <w:rFonts w:ascii="Times New Roman" w:eastAsia="Arial" w:hAnsi="Times New Roman"/>
          <w:sz w:val="24"/>
          <w:szCs w:val="24"/>
        </w:rPr>
        <w:t>entro il mese di giugno;</w:t>
      </w:r>
    </w:p>
    <w:p w14:paraId="63928C5F" w14:textId="77777777" w:rsidR="00563190" w:rsidRPr="006400DE" w:rsidRDefault="00563190" w:rsidP="00D110C7">
      <w:pPr>
        <w:spacing w:before="0" w:after="120" w:line="300" w:lineRule="atLeast"/>
        <w:rPr>
          <w:rFonts w:ascii="Times New Roman" w:eastAsia="Arial" w:hAnsi="Times New Roman"/>
          <w:sz w:val="24"/>
          <w:szCs w:val="24"/>
          <w:highlight w:val="yellow"/>
        </w:rPr>
      </w:pPr>
    </w:p>
    <w:p w14:paraId="0EC5FED2" w14:textId="374EFAF9" w:rsidR="00C90AA6" w:rsidRPr="006400DE" w:rsidRDefault="00C90AA6"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premesso che:</w:t>
      </w:r>
    </w:p>
    <w:p w14:paraId="37949B01" w14:textId="7ABD7364" w:rsidR="00C879B6" w:rsidRPr="006400DE" w:rsidRDefault="00C879B6"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lastRenderedPageBreak/>
        <w:t>è pienamente condivisibile l’obiettivo della proposta di semplificare e razionalizzare il quadro legislativo europeo del settore digitale, che negli ultimi anni si è progressivamente ampliato attraverso l’adozione di numerosi atti normativi settoriali;</w:t>
      </w:r>
    </w:p>
    <w:p w14:paraId="7AEFA838" w14:textId="77777777" w:rsidR="00FC649E" w:rsidRPr="006400DE" w:rsidRDefault="00C879B6" w:rsidP="00FC649E">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si accoglie pertanto con favore la presentazione della proposta</w:t>
      </w:r>
      <w:r w:rsidR="00FC649E" w:rsidRPr="006400DE">
        <w:rPr>
          <w:rFonts w:ascii="Times New Roman" w:eastAsia="Arial" w:hAnsi="Times New Roman"/>
          <w:sz w:val="24"/>
          <w:szCs w:val="24"/>
        </w:rPr>
        <w:t>,</w:t>
      </w:r>
      <w:r w:rsidRPr="006400DE">
        <w:rPr>
          <w:rFonts w:ascii="Times New Roman" w:eastAsia="Arial" w:hAnsi="Times New Roman"/>
          <w:sz w:val="24"/>
          <w:szCs w:val="24"/>
        </w:rPr>
        <w:t xml:space="preserve"> a condizione che essa rappresenti il primo passo di un più ampio processo di semplificazione volto a rafforzare la competitività, la capacità innovativa e l’attrattività dell’ecosistema digitale europeo</w:t>
      </w:r>
      <w:r w:rsidR="00FC649E" w:rsidRPr="006400DE">
        <w:rPr>
          <w:rFonts w:ascii="Times New Roman" w:eastAsia="Arial" w:hAnsi="Times New Roman"/>
          <w:sz w:val="24"/>
          <w:szCs w:val="24"/>
        </w:rPr>
        <w:t>;</w:t>
      </w:r>
    </w:p>
    <w:p w14:paraId="42554366" w14:textId="594BF2FB" w:rsidR="0082088D" w:rsidRPr="006400DE" w:rsidRDefault="000C6BC5" w:rsidP="00FC649E">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la</w:t>
      </w:r>
      <w:r w:rsidR="00FC649E" w:rsidRPr="006400DE">
        <w:rPr>
          <w:rFonts w:ascii="Times New Roman" w:eastAsia="Arial" w:hAnsi="Times New Roman"/>
          <w:sz w:val="24"/>
          <w:szCs w:val="24"/>
        </w:rPr>
        <w:t xml:space="preserve"> competitività del</w:t>
      </w:r>
      <w:r w:rsidRPr="006400DE">
        <w:rPr>
          <w:rFonts w:ascii="Times New Roman" w:eastAsia="Arial" w:hAnsi="Times New Roman"/>
          <w:sz w:val="24"/>
          <w:szCs w:val="24"/>
        </w:rPr>
        <w:t>l’ecosistema</w:t>
      </w:r>
      <w:r w:rsidR="0082088D" w:rsidRPr="006400DE">
        <w:rPr>
          <w:rFonts w:ascii="Times New Roman" w:eastAsia="Arial" w:hAnsi="Times New Roman"/>
          <w:sz w:val="24"/>
          <w:szCs w:val="24"/>
        </w:rPr>
        <w:t xml:space="preserve"> dipende </w:t>
      </w:r>
      <w:r w:rsidRPr="006400DE">
        <w:rPr>
          <w:rFonts w:ascii="Times New Roman" w:eastAsia="Arial" w:hAnsi="Times New Roman"/>
          <w:sz w:val="24"/>
          <w:szCs w:val="24"/>
        </w:rPr>
        <w:t>inoltre</w:t>
      </w:r>
      <w:r w:rsidR="0082088D" w:rsidRPr="006400DE">
        <w:rPr>
          <w:rFonts w:ascii="Times New Roman" w:eastAsia="Arial" w:hAnsi="Times New Roman"/>
          <w:sz w:val="24"/>
          <w:szCs w:val="24"/>
        </w:rPr>
        <w:t xml:space="preserve"> dalla capacità delle amministrazioni pubbliche di accedere tempestivamente alle tecnologie necessarie alla trasformazione digitale, evitando che rigidità procedurali o eccessivi oneri amministrativi compromettano l’attuazione degli investimenti pubblici e dei programmi europei di innovazione;</w:t>
      </w:r>
    </w:p>
    <w:p w14:paraId="378DEE51" w14:textId="46F166B4" w:rsidR="00992FF1" w:rsidRPr="006400DE" w:rsidRDefault="00992FF1" w:rsidP="00FC649E">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la riduzione delle sovrapposizioni normative e degli oneri amministrativi può contribuire al rafforzamento dell’autonomia tecnologica europea</w:t>
      </w:r>
      <w:r w:rsidR="00FC649E" w:rsidRPr="006400DE">
        <w:rPr>
          <w:rFonts w:ascii="Times New Roman" w:eastAsia="Arial" w:hAnsi="Times New Roman"/>
          <w:sz w:val="24"/>
          <w:szCs w:val="24"/>
        </w:rPr>
        <w:t xml:space="preserve"> e a</w:t>
      </w:r>
      <w:r w:rsidR="002478BA" w:rsidRPr="006400DE">
        <w:rPr>
          <w:rFonts w:ascii="Times New Roman" w:eastAsia="Arial" w:hAnsi="Times New Roman"/>
          <w:sz w:val="24"/>
          <w:szCs w:val="24"/>
        </w:rPr>
        <w:t>d</w:t>
      </w:r>
      <w:r w:rsidRPr="006400DE">
        <w:rPr>
          <w:rFonts w:ascii="Times New Roman" w:eastAsia="Arial" w:hAnsi="Times New Roman"/>
          <w:sz w:val="24"/>
          <w:szCs w:val="24"/>
        </w:rPr>
        <w:t xml:space="preserve"> evitare incertezze applicative che potrebbero generare maggiori oneri per imprese, comparti industriali e pubbliche amministrazioni. Sotto questo profilo, la decisione della Commissione europea di non elaborare una valutazione di impatto completa in ragione, a suo avviso, della natura tecnica e mirata delle modifiche prospettate, limita significativamente la possibilità di valutare in maniera completa gli effetti economici, amministrativi e concorrenziali delle modifiche prospettate, soprattutto con riferimento alle disposizioni suscettibili di incidere sui modelli di </w:t>
      </w:r>
      <w:r w:rsidRPr="006400DE">
        <w:rPr>
          <w:rFonts w:ascii="Times New Roman" w:eastAsia="Arial" w:hAnsi="Times New Roman"/>
          <w:i/>
          <w:iCs/>
          <w:sz w:val="24"/>
          <w:szCs w:val="24"/>
        </w:rPr>
        <w:t>business</w:t>
      </w:r>
      <w:r w:rsidRPr="006400DE">
        <w:rPr>
          <w:rFonts w:ascii="Times New Roman" w:eastAsia="Arial" w:hAnsi="Times New Roman"/>
          <w:sz w:val="24"/>
          <w:szCs w:val="24"/>
        </w:rPr>
        <w:t xml:space="preserve"> esistenti e sugli investimenti già effettuati dagli operatori;</w:t>
      </w:r>
    </w:p>
    <w:p w14:paraId="0294A25A" w14:textId="7B299FE7" w:rsidR="00EB1C0C" w:rsidRPr="006400DE" w:rsidRDefault="00A272DD"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gli obiettivi di semplificazione e di riduzione degli oneri amministrativi</w:t>
      </w:r>
      <w:r w:rsidR="001D1E58" w:rsidRPr="006400DE">
        <w:rPr>
          <w:rFonts w:ascii="Times New Roman" w:eastAsia="Arial" w:hAnsi="Times New Roman"/>
          <w:sz w:val="24"/>
          <w:szCs w:val="24"/>
        </w:rPr>
        <w:t xml:space="preserve"> non devono</w:t>
      </w:r>
      <w:r w:rsidR="00992FF1" w:rsidRPr="006400DE">
        <w:rPr>
          <w:rFonts w:ascii="Times New Roman" w:eastAsia="Arial" w:hAnsi="Times New Roman"/>
          <w:sz w:val="24"/>
          <w:szCs w:val="24"/>
        </w:rPr>
        <w:t xml:space="preserve"> tuttavia</w:t>
      </w:r>
      <w:r w:rsidR="001D1E58" w:rsidRPr="006400DE">
        <w:rPr>
          <w:rFonts w:ascii="Times New Roman" w:eastAsia="Arial" w:hAnsi="Times New Roman"/>
          <w:sz w:val="24"/>
          <w:szCs w:val="24"/>
        </w:rPr>
        <w:t xml:space="preserve"> pregiudicare il livello sostanziale di tutela dei diritti fondamentali riconosciuto agli utenti e agli operatori economici</w:t>
      </w:r>
      <w:r w:rsidR="00992FF1" w:rsidRPr="006400DE">
        <w:rPr>
          <w:rFonts w:ascii="Times New Roman" w:eastAsia="Arial" w:hAnsi="Times New Roman"/>
          <w:sz w:val="24"/>
          <w:szCs w:val="24"/>
        </w:rPr>
        <w:t>;</w:t>
      </w:r>
    </w:p>
    <w:p w14:paraId="11818747" w14:textId="030D8D7A" w:rsidR="00FC649E" w:rsidRPr="006400DE" w:rsidRDefault="00FC649E" w:rsidP="00FC649E">
      <w:pPr>
        <w:rPr>
          <w:rFonts w:ascii="Times New Roman" w:hAnsi="Times New Roman"/>
          <w:sz w:val="24"/>
          <w:szCs w:val="24"/>
        </w:rPr>
      </w:pPr>
      <w:r w:rsidRPr="006400DE">
        <w:rPr>
          <w:rFonts w:ascii="Times New Roman" w:hAnsi="Times New Roman"/>
          <w:sz w:val="24"/>
          <w:szCs w:val="24"/>
        </w:rPr>
        <w:t xml:space="preserve">il settore della misurazione delle </w:t>
      </w:r>
      <w:r w:rsidRPr="006400DE">
        <w:rPr>
          <w:rFonts w:ascii="Times New Roman" w:hAnsi="Times New Roman"/>
          <w:i/>
          <w:iCs/>
          <w:sz w:val="24"/>
          <w:szCs w:val="24"/>
        </w:rPr>
        <w:t xml:space="preserve">audience </w:t>
      </w:r>
      <w:r w:rsidR="002478BA" w:rsidRPr="006400DE">
        <w:rPr>
          <w:rFonts w:ascii="Times New Roman" w:hAnsi="Times New Roman"/>
          <w:sz w:val="24"/>
          <w:szCs w:val="24"/>
        </w:rPr>
        <w:t>a</w:t>
      </w:r>
      <w:r w:rsidRPr="006400DE">
        <w:rPr>
          <w:rFonts w:ascii="Times New Roman" w:hAnsi="Times New Roman"/>
          <w:sz w:val="24"/>
          <w:szCs w:val="24"/>
        </w:rPr>
        <w:t xml:space="preserve">ssume specifica importanza ai fini della tutela effettiva del pluralismo nella misura in cui concorre ad assicurare parità di condizioni tra i diversi attori del mercato di riferimento. I dati di </w:t>
      </w:r>
      <w:r w:rsidRPr="006400DE">
        <w:rPr>
          <w:rFonts w:ascii="Times New Roman" w:hAnsi="Times New Roman"/>
          <w:i/>
          <w:iCs/>
          <w:sz w:val="24"/>
          <w:szCs w:val="24"/>
        </w:rPr>
        <w:t>audience</w:t>
      </w:r>
      <w:r w:rsidRPr="006400DE">
        <w:rPr>
          <w:rFonts w:ascii="Times New Roman" w:hAnsi="Times New Roman"/>
          <w:sz w:val="24"/>
          <w:szCs w:val="24"/>
        </w:rPr>
        <w:t xml:space="preserve">, infatti, incidono in modo determinante sulla valorizzazione delle inserzioni di pubblicità, nonché sulla valutazione del ritorno sugli investimenti effettuati e sulla pianificazione e ottimizzazione degli investimenti futuri. Al contempo, gli introiti da pubblicità costituiscono ancora oggi una delle principali fonti di ricavo dei servizi media. Ne consegue che assume significativa rilevanza per gli investitori, e per tutto il settore in generale, disporre di un dato attendibile, prodotto secondo metriche certe e trasparenti e, soprattutto, da un soggetto terzo e indipendente; </w:t>
      </w:r>
    </w:p>
    <w:p w14:paraId="581ADF18" w14:textId="6E6348F7" w:rsidR="002478BA" w:rsidRPr="006400DE" w:rsidRDefault="002478BA" w:rsidP="002478BA">
      <w:pPr>
        <w:rPr>
          <w:rFonts w:ascii="Times New Roman" w:hAnsi="Times New Roman"/>
          <w:sz w:val="24"/>
          <w:szCs w:val="24"/>
          <w:u w:val="single"/>
        </w:rPr>
      </w:pPr>
      <w:r w:rsidRPr="006400DE">
        <w:rPr>
          <w:rFonts w:ascii="Times New Roman" w:hAnsi="Times New Roman"/>
          <w:sz w:val="24"/>
          <w:szCs w:val="24"/>
        </w:rPr>
        <w:t>l’articolo 24 del regolamento (UE) 2024/1083 (regolamento sulla libertà dei media – EMFA) stabilisce che i fornitori di sistemi di misurazione dell’</w:t>
      </w:r>
      <w:r w:rsidRPr="006400DE">
        <w:rPr>
          <w:rFonts w:ascii="Times New Roman" w:hAnsi="Times New Roman"/>
          <w:i/>
          <w:iCs/>
          <w:sz w:val="24"/>
          <w:szCs w:val="24"/>
        </w:rPr>
        <w:t>audience</w:t>
      </w:r>
      <w:r w:rsidRPr="006400DE">
        <w:rPr>
          <w:rFonts w:ascii="Times New Roman" w:hAnsi="Times New Roman"/>
          <w:sz w:val="24"/>
          <w:szCs w:val="24"/>
        </w:rPr>
        <w:t xml:space="preserve"> garantiscono che la metodologia utilizzata per la misurazione, e i loro sistemi nel complesso, rispettino i principi di trasparenza, imparzialità, inclusività, proporzionalità, non discriminazione, comparabilità e verificabilità. In tale contesto, il ruolo dei </w:t>
      </w:r>
      <w:r w:rsidRPr="006400DE">
        <w:rPr>
          <w:rFonts w:ascii="Times New Roman" w:hAnsi="Times New Roman"/>
          <w:i/>
          <w:iCs/>
          <w:sz w:val="24"/>
          <w:szCs w:val="24"/>
        </w:rPr>
        <w:t>Joint Industry Committee</w:t>
      </w:r>
      <w:r w:rsidRPr="006400DE">
        <w:rPr>
          <w:rFonts w:ascii="Times New Roman" w:hAnsi="Times New Roman"/>
          <w:sz w:val="24"/>
          <w:szCs w:val="24"/>
        </w:rPr>
        <w:t xml:space="preserve"> (JIC)</w:t>
      </w:r>
      <w:r w:rsidR="00E04831" w:rsidRPr="006400DE">
        <w:rPr>
          <w:rFonts w:ascii="Times New Roman" w:hAnsi="Times New Roman"/>
          <w:sz w:val="24"/>
          <w:szCs w:val="24"/>
        </w:rPr>
        <w:t xml:space="preserve"> </w:t>
      </w:r>
      <w:r w:rsidRPr="006400DE">
        <w:rPr>
          <w:rFonts w:ascii="Times New Roman" w:hAnsi="Times New Roman"/>
          <w:sz w:val="24"/>
          <w:szCs w:val="24"/>
        </w:rPr>
        <w:t>è stato ampiamente</w:t>
      </w:r>
      <w:r w:rsidR="00E04831" w:rsidRPr="006400DE">
        <w:rPr>
          <w:rFonts w:ascii="Times New Roman" w:hAnsi="Times New Roman"/>
          <w:sz w:val="24"/>
          <w:szCs w:val="24"/>
        </w:rPr>
        <w:t xml:space="preserve"> </w:t>
      </w:r>
      <w:r w:rsidRPr="006400DE">
        <w:rPr>
          <w:rFonts w:ascii="Times New Roman" w:hAnsi="Times New Roman"/>
          <w:sz w:val="24"/>
          <w:szCs w:val="24"/>
        </w:rPr>
        <w:t>riconosciuto e promosso;</w:t>
      </w:r>
    </w:p>
    <w:p w14:paraId="110D567D" w14:textId="77777777" w:rsidR="0082088D" w:rsidRPr="006400DE" w:rsidRDefault="0082088D" w:rsidP="00D110C7">
      <w:pPr>
        <w:spacing w:before="0" w:after="120" w:line="300" w:lineRule="atLeast"/>
        <w:rPr>
          <w:rFonts w:ascii="Times New Roman" w:eastAsia="Arial" w:hAnsi="Times New Roman"/>
          <w:sz w:val="24"/>
          <w:szCs w:val="24"/>
        </w:rPr>
      </w:pPr>
    </w:p>
    <w:p w14:paraId="78C1CAAC" w14:textId="0B6C45DA" w:rsidR="00D6398C" w:rsidRPr="006400DE" w:rsidRDefault="00C90AA6"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considerato che</w:t>
      </w:r>
      <w:r w:rsidR="005D3DBA" w:rsidRPr="006400DE">
        <w:rPr>
          <w:rFonts w:ascii="Times New Roman" w:eastAsia="Arial" w:hAnsi="Times New Roman"/>
          <w:sz w:val="24"/>
          <w:szCs w:val="24"/>
        </w:rPr>
        <w:t>:</w:t>
      </w:r>
    </w:p>
    <w:p w14:paraId="4E68E9B1" w14:textId="15E7F2FD" w:rsidR="00BA479E" w:rsidRPr="006400DE" w:rsidRDefault="00416470"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 xml:space="preserve">la previsione di cui all’articolo 1, paragrafo 15, che stabilisce che le disposizioni di cui al Capo VI del regolamento </w:t>
      </w:r>
      <w:r w:rsidR="008A0B3A" w:rsidRPr="006400DE">
        <w:rPr>
          <w:rFonts w:ascii="Times New Roman" w:eastAsia="Arial" w:hAnsi="Times New Roman"/>
          <w:sz w:val="24"/>
          <w:szCs w:val="24"/>
        </w:rPr>
        <w:t>(UE) 2023/2854 (</w:t>
      </w:r>
      <w:r w:rsidRPr="006400DE">
        <w:rPr>
          <w:rFonts w:ascii="Times New Roman" w:eastAsia="Arial" w:hAnsi="Times New Roman"/>
          <w:i/>
          <w:iCs/>
          <w:sz w:val="24"/>
          <w:szCs w:val="24"/>
        </w:rPr>
        <w:t>Data Act</w:t>
      </w:r>
      <w:r w:rsidR="008A0B3A" w:rsidRPr="006400DE">
        <w:rPr>
          <w:rFonts w:ascii="Times New Roman" w:eastAsia="Arial" w:hAnsi="Times New Roman"/>
          <w:sz w:val="24"/>
          <w:szCs w:val="24"/>
        </w:rPr>
        <w:t>), relative al passaggio tra fornitori di servizi di trattamento dei dati</w:t>
      </w:r>
      <w:r w:rsidR="00525413" w:rsidRPr="006400DE">
        <w:rPr>
          <w:rFonts w:ascii="Times New Roman" w:eastAsia="Arial" w:hAnsi="Times New Roman"/>
          <w:sz w:val="24"/>
          <w:szCs w:val="24"/>
        </w:rPr>
        <w:t>,</w:t>
      </w:r>
      <w:r w:rsidR="008A0B3A" w:rsidRPr="006400DE">
        <w:rPr>
          <w:rFonts w:ascii="Times New Roman" w:eastAsia="Arial" w:hAnsi="Times New Roman"/>
          <w:sz w:val="24"/>
          <w:szCs w:val="24"/>
        </w:rPr>
        <w:t xml:space="preserve"> non si applicano ai contratti conclusi il 12 settembre 2025 o anteriormente se relativi a servizi personalizzati e, indipendentemente dal tipo di servizio, se conclusi da piccole e medie imprese</w:t>
      </w:r>
      <w:r w:rsidR="000E5DC2" w:rsidRPr="006400DE">
        <w:rPr>
          <w:rFonts w:ascii="Times New Roman" w:eastAsia="Arial" w:hAnsi="Times New Roman"/>
          <w:sz w:val="24"/>
          <w:szCs w:val="24"/>
        </w:rPr>
        <w:t xml:space="preserve"> (PMI)</w:t>
      </w:r>
      <w:r w:rsidR="008A0B3A" w:rsidRPr="006400DE">
        <w:rPr>
          <w:rFonts w:ascii="Times New Roman" w:eastAsia="Arial" w:hAnsi="Times New Roman"/>
          <w:sz w:val="24"/>
          <w:szCs w:val="24"/>
        </w:rPr>
        <w:t xml:space="preserve"> o da piccole imprese a media capitalizzazione, potrebbe </w:t>
      </w:r>
      <w:r w:rsidR="00AB3BBB" w:rsidRPr="006400DE">
        <w:rPr>
          <w:rFonts w:ascii="Times New Roman" w:eastAsia="Arial" w:hAnsi="Times New Roman"/>
          <w:sz w:val="24"/>
          <w:szCs w:val="24"/>
        </w:rPr>
        <w:t xml:space="preserve">determinare un effetto spiazzamento </w:t>
      </w:r>
      <w:r w:rsidR="00525413" w:rsidRPr="006400DE">
        <w:rPr>
          <w:rFonts w:ascii="Times New Roman" w:eastAsia="Arial" w:hAnsi="Times New Roman"/>
          <w:sz w:val="24"/>
          <w:szCs w:val="24"/>
        </w:rPr>
        <w:t xml:space="preserve">rispetto a </w:t>
      </w:r>
      <w:r w:rsidR="00AB3BBB" w:rsidRPr="006400DE">
        <w:rPr>
          <w:rFonts w:ascii="Times New Roman" w:eastAsia="Arial" w:hAnsi="Times New Roman"/>
          <w:sz w:val="24"/>
          <w:szCs w:val="24"/>
        </w:rPr>
        <w:t>investimenti già effettuati dalle imprese in relazione a</w:t>
      </w:r>
      <w:r w:rsidR="007A111D" w:rsidRPr="006400DE">
        <w:rPr>
          <w:rFonts w:ascii="Times New Roman" w:eastAsia="Arial" w:hAnsi="Times New Roman"/>
          <w:sz w:val="24"/>
          <w:szCs w:val="24"/>
        </w:rPr>
        <w:t xml:space="preserve"> precedenti</w:t>
      </w:r>
      <w:r w:rsidR="00AB3BBB" w:rsidRPr="006400DE">
        <w:rPr>
          <w:rFonts w:ascii="Times New Roman" w:eastAsia="Arial" w:hAnsi="Times New Roman"/>
          <w:sz w:val="24"/>
          <w:szCs w:val="24"/>
        </w:rPr>
        <w:t xml:space="preserve"> accordi contrattuali</w:t>
      </w:r>
      <w:r w:rsidR="007A111D" w:rsidRPr="006400DE">
        <w:rPr>
          <w:rFonts w:ascii="Times New Roman" w:eastAsia="Arial" w:hAnsi="Times New Roman"/>
          <w:sz w:val="24"/>
          <w:szCs w:val="24"/>
        </w:rPr>
        <w:t>.</w:t>
      </w:r>
      <w:r w:rsidR="00525413" w:rsidRPr="006400DE">
        <w:rPr>
          <w:rFonts w:ascii="Times New Roman" w:eastAsia="Arial" w:hAnsi="Times New Roman"/>
          <w:sz w:val="24"/>
          <w:szCs w:val="24"/>
        </w:rPr>
        <w:t xml:space="preserve"> </w:t>
      </w:r>
      <w:r w:rsidR="007A111D" w:rsidRPr="006400DE">
        <w:rPr>
          <w:rFonts w:ascii="Times New Roman" w:eastAsia="Arial" w:hAnsi="Times New Roman"/>
          <w:sz w:val="24"/>
          <w:szCs w:val="24"/>
        </w:rPr>
        <w:t>Inoltre, l’esenzione prevista per i servizi personalizzati potrebbe generare frammentazione applicativa tra gli Stati membri in quanto la proposta non fornisce criteri sufficientemente chiari in ordine alla loro definizione</w:t>
      </w:r>
      <w:r w:rsidR="00E8777B" w:rsidRPr="006400DE">
        <w:rPr>
          <w:rFonts w:ascii="Times New Roman" w:eastAsia="Arial" w:hAnsi="Times New Roman"/>
          <w:sz w:val="24"/>
          <w:szCs w:val="24"/>
        </w:rPr>
        <w:t>;</w:t>
      </w:r>
    </w:p>
    <w:p w14:paraId="2353C4A8" w14:textId="6CF6E3CC" w:rsidR="00743CD0" w:rsidRPr="006400DE" w:rsidRDefault="00BE0A13"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 xml:space="preserve">lo stesso </w:t>
      </w:r>
      <w:r w:rsidR="009246B8" w:rsidRPr="006400DE">
        <w:rPr>
          <w:rFonts w:ascii="Times New Roman" w:eastAsia="Arial" w:hAnsi="Times New Roman"/>
          <w:sz w:val="24"/>
          <w:szCs w:val="24"/>
        </w:rPr>
        <w:t xml:space="preserve">articolo 1, paragrafo 15, </w:t>
      </w:r>
      <w:r w:rsidRPr="006400DE">
        <w:rPr>
          <w:rFonts w:ascii="Times New Roman" w:eastAsia="Arial" w:hAnsi="Times New Roman"/>
          <w:sz w:val="24"/>
          <w:szCs w:val="24"/>
        </w:rPr>
        <w:t>prevede che i</w:t>
      </w:r>
      <w:r w:rsidR="008E012E" w:rsidRPr="006400DE">
        <w:rPr>
          <w:rFonts w:ascii="Times New Roman" w:eastAsia="Arial" w:hAnsi="Times New Roman"/>
          <w:sz w:val="24"/>
          <w:szCs w:val="24"/>
        </w:rPr>
        <w:t xml:space="preserve">l </w:t>
      </w:r>
      <w:r w:rsidR="009246B8" w:rsidRPr="006400DE">
        <w:rPr>
          <w:rFonts w:ascii="Times New Roman" w:eastAsia="Arial" w:hAnsi="Times New Roman"/>
          <w:sz w:val="24"/>
          <w:szCs w:val="24"/>
        </w:rPr>
        <w:t xml:space="preserve">fornitore di un servizio di trattamento dei dati </w:t>
      </w:r>
      <w:r w:rsidRPr="006400DE">
        <w:rPr>
          <w:rFonts w:ascii="Times New Roman" w:eastAsia="Arial" w:hAnsi="Times New Roman"/>
          <w:sz w:val="24"/>
          <w:szCs w:val="24"/>
        </w:rPr>
        <w:t>possa</w:t>
      </w:r>
      <w:r w:rsidR="009246B8" w:rsidRPr="006400DE">
        <w:rPr>
          <w:rFonts w:ascii="Times New Roman" w:eastAsia="Arial" w:hAnsi="Times New Roman"/>
          <w:sz w:val="24"/>
          <w:szCs w:val="24"/>
        </w:rPr>
        <w:t xml:space="preserve"> includere</w:t>
      </w:r>
      <w:r w:rsidRPr="006400DE">
        <w:rPr>
          <w:rFonts w:ascii="Times New Roman" w:eastAsia="Arial" w:hAnsi="Times New Roman"/>
          <w:sz w:val="24"/>
          <w:szCs w:val="24"/>
        </w:rPr>
        <w:t xml:space="preserve">, in caso di risoluzione anticipata, </w:t>
      </w:r>
      <w:r w:rsidR="009246B8" w:rsidRPr="006400DE">
        <w:rPr>
          <w:rFonts w:ascii="Times New Roman" w:eastAsia="Arial" w:hAnsi="Times New Roman"/>
          <w:sz w:val="24"/>
          <w:szCs w:val="24"/>
        </w:rPr>
        <w:t xml:space="preserve">disposizioni relative a sanzioni proporzionate </w:t>
      </w:r>
      <w:r w:rsidR="008E012E" w:rsidRPr="006400DE">
        <w:rPr>
          <w:rFonts w:ascii="Times New Roman" w:eastAsia="Arial" w:hAnsi="Times New Roman"/>
          <w:sz w:val="24"/>
          <w:szCs w:val="24"/>
        </w:rPr>
        <w:t xml:space="preserve">in un contratto di durata fissa per la fornitura di servizi di trattamento dei dati diversi da quelli </w:t>
      </w:r>
      <w:proofErr w:type="spellStart"/>
      <w:r w:rsidR="008E012E" w:rsidRPr="006400DE">
        <w:rPr>
          <w:rFonts w:ascii="Times New Roman" w:eastAsia="Arial" w:hAnsi="Times New Roman"/>
          <w:sz w:val="24"/>
          <w:szCs w:val="24"/>
        </w:rPr>
        <w:t>IaaS</w:t>
      </w:r>
      <w:proofErr w:type="spellEnd"/>
      <w:r w:rsidR="008E012E" w:rsidRPr="006400DE">
        <w:rPr>
          <w:rFonts w:ascii="Times New Roman" w:eastAsia="Arial" w:hAnsi="Times New Roman"/>
          <w:sz w:val="24"/>
          <w:szCs w:val="24"/>
        </w:rPr>
        <w:t xml:space="preserve"> (</w:t>
      </w:r>
      <w:proofErr w:type="spellStart"/>
      <w:r w:rsidR="008E012E" w:rsidRPr="006400DE">
        <w:rPr>
          <w:rFonts w:ascii="Times New Roman" w:eastAsia="Arial" w:hAnsi="Times New Roman"/>
          <w:i/>
          <w:iCs/>
          <w:sz w:val="24"/>
          <w:szCs w:val="24"/>
        </w:rPr>
        <w:t>Infrastructure</w:t>
      </w:r>
      <w:proofErr w:type="spellEnd"/>
      <w:r w:rsidR="008E012E" w:rsidRPr="006400DE">
        <w:rPr>
          <w:rFonts w:ascii="Times New Roman" w:eastAsia="Arial" w:hAnsi="Times New Roman"/>
          <w:i/>
          <w:iCs/>
          <w:sz w:val="24"/>
          <w:szCs w:val="24"/>
        </w:rPr>
        <w:t xml:space="preserve"> </w:t>
      </w:r>
      <w:proofErr w:type="spellStart"/>
      <w:r w:rsidR="008E012E" w:rsidRPr="006400DE">
        <w:rPr>
          <w:rFonts w:ascii="Times New Roman" w:eastAsia="Arial" w:hAnsi="Times New Roman"/>
          <w:i/>
          <w:iCs/>
          <w:sz w:val="24"/>
          <w:szCs w:val="24"/>
        </w:rPr>
        <w:t>as</w:t>
      </w:r>
      <w:proofErr w:type="spellEnd"/>
      <w:r w:rsidR="008E012E" w:rsidRPr="006400DE">
        <w:rPr>
          <w:rFonts w:ascii="Times New Roman" w:eastAsia="Arial" w:hAnsi="Times New Roman"/>
          <w:i/>
          <w:iCs/>
          <w:sz w:val="24"/>
          <w:szCs w:val="24"/>
        </w:rPr>
        <w:t xml:space="preserve"> a Service</w:t>
      </w:r>
      <w:r w:rsidR="008E012E" w:rsidRPr="006400DE">
        <w:rPr>
          <w:rFonts w:ascii="Times New Roman" w:eastAsia="Arial" w:hAnsi="Times New Roman"/>
          <w:sz w:val="24"/>
          <w:szCs w:val="24"/>
        </w:rPr>
        <w:t>)</w:t>
      </w:r>
      <w:r w:rsidRPr="006400DE">
        <w:rPr>
          <w:rFonts w:ascii="Times New Roman" w:eastAsia="Arial" w:hAnsi="Times New Roman"/>
          <w:sz w:val="24"/>
          <w:szCs w:val="24"/>
        </w:rPr>
        <w:t xml:space="preserve">. In questo modo sembra introdursi </w:t>
      </w:r>
      <w:r w:rsidR="008E012E" w:rsidRPr="006400DE">
        <w:rPr>
          <w:rFonts w:ascii="Times New Roman" w:eastAsia="Arial" w:hAnsi="Times New Roman"/>
          <w:sz w:val="24"/>
          <w:szCs w:val="24"/>
        </w:rPr>
        <w:t>una differenziazione tra i fornitori di servizi che non appare giustificata da alcuna evidenza di mercato</w:t>
      </w:r>
      <w:r w:rsidR="00743CD0" w:rsidRPr="006400DE">
        <w:rPr>
          <w:rFonts w:ascii="Times New Roman" w:eastAsia="Arial" w:hAnsi="Times New Roman"/>
          <w:sz w:val="24"/>
          <w:szCs w:val="24"/>
        </w:rPr>
        <w:t>. In</w:t>
      </w:r>
      <w:r w:rsidRPr="006400DE">
        <w:rPr>
          <w:rFonts w:ascii="Times New Roman" w:eastAsia="Arial" w:hAnsi="Times New Roman"/>
          <w:sz w:val="24"/>
          <w:szCs w:val="24"/>
        </w:rPr>
        <w:t>oltre,</w:t>
      </w:r>
      <w:r w:rsidR="00743CD0" w:rsidRPr="006400DE">
        <w:rPr>
          <w:rFonts w:ascii="Times New Roman" w:eastAsia="Arial" w:hAnsi="Times New Roman"/>
          <w:sz w:val="24"/>
          <w:szCs w:val="24"/>
        </w:rPr>
        <w:t xml:space="preserve"> la mancanza di criteri utili a definire il concetto di proporzionalità nelle penali potrebbe determinare</w:t>
      </w:r>
      <w:r w:rsidRPr="006400DE">
        <w:rPr>
          <w:rFonts w:ascii="Times New Roman" w:eastAsia="Arial" w:hAnsi="Times New Roman"/>
          <w:sz w:val="24"/>
          <w:szCs w:val="24"/>
        </w:rPr>
        <w:t xml:space="preserve"> anch’essa</w:t>
      </w:r>
      <w:r w:rsidR="00743CD0" w:rsidRPr="006400DE">
        <w:rPr>
          <w:rFonts w:ascii="Times New Roman" w:eastAsia="Arial" w:hAnsi="Times New Roman"/>
          <w:sz w:val="24"/>
          <w:szCs w:val="24"/>
        </w:rPr>
        <w:t xml:space="preserve"> interpretazioni divergenti tra gli Stati membri;</w:t>
      </w:r>
    </w:p>
    <w:p w14:paraId="50707CFF" w14:textId="7D547450" w:rsidR="00D93DE9" w:rsidRPr="006400DE" w:rsidRDefault="0099169E"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è accolto con favore il</w:t>
      </w:r>
      <w:r w:rsidR="00D93DE9" w:rsidRPr="006400DE">
        <w:rPr>
          <w:rFonts w:ascii="Times New Roman" w:eastAsia="Arial" w:hAnsi="Times New Roman"/>
          <w:sz w:val="24"/>
          <w:szCs w:val="24"/>
        </w:rPr>
        <w:t xml:space="preserve"> divieto di imposizione di obblighi di localizzazione dei dati non personali, di cui il nuovo articolo 32 </w:t>
      </w:r>
      <w:proofErr w:type="spellStart"/>
      <w:r w:rsidR="00D93DE9" w:rsidRPr="006400DE">
        <w:rPr>
          <w:rFonts w:ascii="Times New Roman" w:eastAsia="Arial" w:hAnsi="Times New Roman"/>
          <w:i/>
          <w:iCs/>
          <w:sz w:val="24"/>
          <w:szCs w:val="24"/>
        </w:rPr>
        <w:t>nonies</w:t>
      </w:r>
      <w:proofErr w:type="spellEnd"/>
      <w:r w:rsidR="00D93DE9" w:rsidRPr="006400DE">
        <w:rPr>
          <w:rFonts w:ascii="Times New Roman" w:eastAsia="Arial" w:hAnsi="Times New Roman"/>
          <w:sz w:val="24"/>
          <w:szCs w:val="24"/>
        </w:rPr>
        <w:t xml:space="preserve"> introdotto nel </w:t>
      </w:r>
      <w:r w:rsidR="00D93DE9" w:rsidRPr="006400DE">
        <w:rPr>
          <w:rFonts w:ascii="Times New Roman" w:eastAsia="Arial" w:hAnsi="Times New Roman"/>
          <w:i/>
          <w:iCs/>
          <w:sz w:val="24"/>
          <w:szCs w:val="24"/>
        </w:rPr>
        <w:t>Data Act</w:t>
      </w:r>
      <w:r w:rsidR="00D93DE9" w:rsidRPr="006400DE">
        <w:rPr>
          <w:rFonts w:ascii="Times New Roman" w:eastAsia="Arial" w:hAnsi="Times New Roman"/>
          <w:sz w:val="24"/>
          <w:szCs w:val="24"/>
        </w:rPr>
        <w:t xml:space="preserve"> dall’articolo 1, paragrafo 18, della proposta,</w:t>
      </w:r>
      <w:r w:rsidRPr="006400DE">
        <w:rPr>
          <w:rFonts w:ascii="Times New Roman" w:eastAsia="Arial" w:hAnsi="Times New Roman"/>
          <w:sz w:val="24"/>
          <w:szCs w:val="24"/>
        </w:rPr>
        <w:t xml:space="preserve"> </w:t>
      </w:r>
      <w:r w:rsidR="00D93DE9" w:rsidRPr="006400DE">
        <w:rPr>
          <w:rFonts w:ascii="Times New Roman" w:eastAsia="Arial" w:hAnsi="Times New Roman"/>
          <w:sz w:val="24"/>
          <w:szCs w:val="24"/>
        </w:rPr>
        <w:t>in quanto la loro imposizione determinerebbe una frammentazione del mercato interno, nonché un aumento dei costi a carico delle imprese;</w:t>
      </w:r>
    </w:p>
    <w:p w14:paraId="66340771" w14:textId="50D98522" w:rsidR="00D93DE9" w:rsidRPr="006400DE" w:rsidRDefault="00D93DE9"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 xml:space="preserve">l’imposizione di </w:t>
      </w:r>
      <w:r w:rsidR="00674611" w:rsidRPr="006400DE">
        <w:rPr>
          <w:rFonts w:ascii="Times New Roman" w:eastAsia="Arial" w:hAnsi="Times New Roman"/>
          <w:sz w:val="24"/>
          <w:szCs w:val="24"/>
        </w:rPr>
        <w:t xml:space="preserve">tariffe e licenze separate per le imprese designate come </w:t>
      </w:r>
      <w:proofErr w:type="spellStart"/>
      <w:r w:rsidR="00674611" w:rsidRPr="006400DE">
        <w:rPr>
          <w:rFonts w:ascii="Times New Roman" w:eastAsia="Arial" w:hAnsi="Times New Roman"/>
          <w:i/>
          <w:iCs/>
          <w:sz w:val="24"/>
          <w:szCs w:val="24"/>
        </w:rPr>
        <w:t>gatekeeper</w:t>
      </w:r>
      <w:proofErr w:type="spellEnd"/>
      <w:r w:rsidR="00674611" w:rsidRPr="006400DE">
        <w:rPr>
          <w:rFonts w:ascii="Times New Roman" w:eastAsia="Arial" w:hAnsi="Times New Roman"/>
          <w:sz w:val="24"/>
          <w:szCs w:val="24"/>
        </w:rPr>
        <w:t xml:space="preserve"> ai sensi del regolamento (UE) 2022/1925 (regolamento sui mercati digitali</w:t>
      </w:r>
      <w:r w:rsidR="00ED4B4D" w:rsidRPr="006400DE">
        <w:rPr>
          <w:rFonts w:ascii="Times New Roman" w:eastAsia="Arial" w:hAnsi="Times New Roman"/>
          <w:sz w:val="24"/>
          <w:szCs w:val="24"/>
        </w:rPr>
        <w:t xml:space="preserve"> – </w:t>
      </w:r>
      <w:r w:rsidR="00674611" w:rsidRPr="006400DE">
        <w:rPr>
          <w:rFonts w:ascii="Times New Roman" w:eastAsia="Arial" w:hAnsi="Times New Roman"/>
          <w:sz w:val="24"/>
          <w:szCs w:val="24"/>
        </w:rPr>
        <w:t>DMA), previste rispettivamente d</w:t>
      </w:r>
      <w:r w:rsidR="00491657" w:rsidRPr="006400DE">
        <w:rPr>
          <w:rFonts w:ascii="Times New Roman" w:eastAsia="Arial" w:hAnsi="Times New Roman"/>
          <w:sz w:val="24"/>
          <w:szCs w:val="24"/>
        </w:rPr>
        <w:t>a</w:t>
      </w:r>
      <w:r w:rsidR="00674611" w:rsidRPr="006400DE">
        <w:rPr>
          <w:rFonts w:ascii="Times New Roman" w:eastAsia="Arial" w:hAnsi="Times New Roman"/>
          <w:sz w:val="24"/>
          <w:szCs w:val="24"/>
        </w:rPr>
        <w:t xml:space="preserve">i nuovi articoli 32 </w:t>
      </w:r>
      <w:proofErr w:type="spellStart"/>
      <w:r w:rsidR="00674611" w:rsidRPr="006400DE">
        <w:rPr>
          <w:rFonts w:ascii="Times New Roman" w:eastAsia="Arial" w:hAnsi="Times New Roman"/>
          <w:i/>
          <w:iCs/>
          <w:sz w:val="24"/>
          <w:szCs w:val="24"/>
        </w:rPr>
        <w:t>octodecies</w:t>
      </w:r>
      <w:proofErr w:type="spellEnd"/>
      <w:r w:rsidR="00674611" w:rsidRPr="006400DE">
        <w:rPr>
          <w:rFonts w:ascii="Times New Roman" w:eastAsia="Arial" w:hAnsi="Times New Roman"/>
          <w:sz w:val="24"/>
          <w:szCs w:val="24"/>
        </w:rPr>
        <w:t xml:space="preserve">, paragrafo 6, e 32 </w:t>
      </w:r>
      <w:proofErr w:type="spellStart"/>
      <w:r w:rsidR="00674611" w:rsidRPr="006400DE">
        <w:rPr>
          <w:rFonts w:ascii="Times New Roman" w:eastAsia="Arial" w:hAnsi="Times New Roman"/>
          <w:i/>
          <w:iCs/>
          <w:sz w:val="24"/>
          <w:szCs w:val="24"/>
        </w:rPr>
        <w:t>novodecies</w:t>
      </w:r>
      <w:proofErr w:type="spellEnd"/>
      <w:r w:rsidR="00674611" w:rsidRPr="006400DE">
        <w:rPr>
          <w:rFonts w:ascii="Times New Roman" w:eastAsia="Arial" w:hAnsi="Times New Roman"/>
          <w:sz w:val="24"/>
          <w:szCs w:val="24"/>
        </w:rPr>
        <w:t xml:space="preserve">, paragrafo 4, </w:t>
      </w:r>
      <w:r w:rsidR="008E2EEC" w:rsidRPr="006400DE">
        <w:rPr>
          <w:rFonts w:ascii="Times New Roman" w:eastAsia="Arial" w:hAnsi="Times New Roman"/>
          <w:sz w:val="24"/>
          <w:szCs w:val="24"/>
        </w:rPr>
        <w:t xml:space="preserve">introdotti nel </w:t>
      </w:r>
      <w:r w:rsidR="008E2EEC" w:rsidRPr="006400DE">
        <w:rPr>
          <w:rFonts w:ascii="Times New Roman" w:eastAsia="Arial" w:hAnsi="Times New Roman"/>
          <w:i/>
          <w:iCs/>
          <w:sz w:val="24"/>
          <w:szCs w:val="24"/>
        </w:rPr>
        <w:t xml:space="preserve">Data Act </w:t>
      </w:r>
      <w:r w:rsidR="008E2EEC" w:rsidRPr="006400DE">
        <w:rPr>
          <w:rFonts w:ascii="Times New Roman" w:eastAsia="Arial" w:hAnsi="Times New Roman"/>
          <w:sz w:val="24"/>
          <w:szCs w:val="24"/>
        </w:rPr>
        <w:t xml:space="preserve">ai sensi dell’articolo 1, paragrafo 18, della proposta, </w:t>
      </w:r>
      <w:r w:rsidR="0099169E" w:rsidRPr="006400DE">
        <w:rPr>
          <w:rFonts w:ascii="Times New Roman" w:eastAsia="Arial" w:hAnsi="Times New Roman"/>
          <w:sz w:val="24"/>
          <w:szCs w:val="24"/>
        </w:rPr>
        <w:t>potrebbe</w:t>
      </w:r>
      <w:r w:rsidR="00491657" w:rsidRPr="006400DE">
        <w:rPr>
          <w:rFonts w:ascii="Times New Roman" w:eastAsia="Arial" w:hAnsi="Times New Roman"/>
          <w:sz w:val="24"/>
          <w:szCs w:val="24"/>
        </w:rPr>
        <w:t xml:space="preserve"> </w:t>
      </w:r>
      <w:r w:rsidR="007A111D" w:rsidRPr="006400DE">
        <w:rPr>
          <w:rFonts w:ascii="Times New Roman" w:eastAsia="Arial" w:hAnsi="Times New Roman"/>
          <w:sz w:val="24"/>
          <w:szCs w:val="24"/>
        </w:rPr>
        <w:t>alterare</w:t>
      </w:r>
      <w:r w:rsidR="00491657" w:rsidRPr="006400DE">
        <w:rPr>
          <w:rFonts w:ascii="Times New Roman" w:eastAsia="Arial" w:hAnsi="Times New Roman"/>
          <w:sz w:val="24"/>
          <w:szCs w:val="24"/>
        </w:rPr>
        <w:t xml:space="preserve"> </w:t>
      </w:r>
      <w:r w:rsidR="007A111D" w:rsidRPr="006400DE">
        <w:rPr>
          <w:rFonts w:ascii="Times New Roman" w:eastAsia="Arial" w:hAnsi="Times New Roman"/>
          <w:sz w:val="24"/>
          <w:szCs w:val="24"/>
        </w:rPr>
        <w:t>i</w:t>
      </w:r>
      <w:r w:rsidR="00491657" w:rsidRPr="006400DE">
        <w:rPr>
          <w:rFonts w:ascii="Times New Roman" w:eastAsia="Arial" w:hAnsi="Times New Roman"/>
          <w:sz w:val="24"/>
          <w:szCs w:val="24"/>
        </w:rPr>
        <w:t xml:space="preserve">l mercato penalizzando </w:t>
      </w:r>
      <w:r w:rsidR="007A111D" w:rsidRPr="006400DE">
        <w:rPr>
          <w:rFonts w:ascii="Times New Roman" w:eastAsia="Arial" w:hAnsi="Times New Roman"/>
          <w:sz w:val="24"/>
          <w:szCs w:val="24"/>
        </w:rPr>
        <w:t xml:space="preserve">in maniera sproporzionata </w:t>
      </w:r>
      <w:r w:rsidR="00491657" w:rsidRPr="006400DE">
        <w:rPr>
          <w:rFonts w:ascii="Times New Roman" w:eastAsia="Arial" w:hAnsi="Times New Roman"/>
          <w:sz w:val="24"/>
          <w:szCs w:val="24"/>
        </w:rPr>
        <w:t>soggetti che svolgono funzioni</w:t>
      </w:r>
      <w:r w:rsidR="0099169E" w:rsidRPr="006400DE">
        <w:rPr>
          <w:rFonts w:ascii="Times New Roman" w:eastAsia="Arial" w:hAnsi="Times New Roman"/>
          <w:sz w:val="24"/>
          <w:szCs w:val="24"/>
        </w:rPr>
        <w:t xml:space="preserve"> e</w:t>
      </w:r>
      <w:r w:rsidR="00491657" w:rsidRPr="006400DE">
        <w:rPr>
          <w:rFonts w:ascii="Times New Roman" w:eastAsia="Arial" w:hAnsi="Times New Roman"/>
          <w:sz w:val="24"/>
          <w:szCs w:val="24"/>
        </w:rPr>
        <w:t xml:space="preserve"> attività </w:t>
      </w:r>
      <w:r w:rsidR="007A111D" w:rsidRPr="006400DE">
        <w:rPr>
          <w:rFonts w:ascii="Times New Roman" w:eastAsia="Arial" w:hAnsi="Times New Roman"/>
          <w:sz w:val="24"/>
          <w:szCs w:val="24"/>
        </w:rPr>
        <w:t xml:space="preserve">utili </w:t>
      </w:r>
      <w:r w:rsidR="00491657" w:rsidRPr="006400DE">
        <w:rPr>
          <w:rFonts w:ascii="Times New Roman" w:eastAsia="Arial" w:hAnsi="Times New Roman"/>
          <w:sz w:val="24"/>
          <w:szCs w:val="24"/>
        </w:rPr>
        <w:t>per l’erogazione di servizi d</w:t>
      </w:r>
      <w:r w:rsidR="007A111D" w:rsidRPr="006400DE">
        <w:rPr>
          <w:rFonts w:ascii="Times New Roman" w:eastAsia="Arial" w:hAnsi="Times New Roman"/>
          <w:sz w:val="24"/>
          <w:szCs w:val="24"/>
        </w:rPr>
        <w:t xml:space="preserve">a parte di tutti gli operatori dell’ecosistema </w:t>
      </w:r>
      <w:r w:rsidR="00491657" w:rsidRPr="006400DE">
        <w:rPr>
          <w:rFonts w:ascii="Times New Roman" w:eastAsia="Arial" w:hAnsi="Times New Roman"/>
          <w:sz w:val="24"/>
          <w:szCs w:val="24"/>
        </w:rPr>
        <w:t>digitale;</w:t>
      </w:r>
    </w:p>
    <w:p w14:paraId="2596F19C" w14:textId="07A516C1" w:rsidR="007839D8" w:rsidRPr="006400DE" w:rsidRDefault="00F30EE7"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 xml:space="preserve">è pienamente condivisibile l’obiettivo di favorire </w:t>
      </w:r>
      <w:r w:rsidR="00221729" w:rsidRPr="006400DE">
        <w:rPr>
          <w:rFonts w:ascii="Times New Roman" w:eastAsia="Arial" w:hAnsi="Times New Roman"/>
          <w:sz w:val="24"/>
          <w:szCs w:val="24"/>
        </w:rPr>
        <w:t xml:space="preserve">l’utente nel passaggio </w:t>
      </w:r>
      <w:r w:rsidR="00992FF1" w:rsidRPr="006400DE">
        <w:rPr>
          <w:rFonts w:ascii="Times New Roman" w:eastAsia="Arial" w:hAnsi="Times New Roman"/>
          <w:sz w:val="24"/>
          <w:szCs w:val="24"/>
        </w:rPr>
        <w:t>da un</w:t>
      </w:r>
      <w:r w:rsidR="00221729" w:rsidRPr="006400DE">
        <w:rPr>
          <w:rFonts w:ascii="Times New Roman" w:eastAsia="Arial" w:hAnsi="Times New Roman"/>
          <w:sz w:val="24"/>
          <w:szCs w:val="24"/>
        </w:rPr>
        <w:t xml:space="preserve"> </w:t>
      </w:r>
      <w:r w:rsidRPr="006400DE">
        <w:rPr>
          <w:rFonts w:ascii="Times New Roman" w:eastAsia="Arial" w:hAnsi="Times New Roman"/>
          <w:sz w:val="24"/>
          <w:szCs w:val="24"/>
        </w:rPr>
        <w:t>fornitor</w:t>
      </w:r>
      <w:r w:rsidR="00992FF1" w:rsidRPr="006400DE">
        <w:rPr>
          <w:rFonts w:ascii="Times New Roman" w:eastAsia="Arial" w:hAnsi="Times New Roman"/>
          <w:sz w:val="24"/>
          <w:szCs w:val="24"/>
        </w:rPr>
        <w:t>e</w:t>
      </w:r>
      <w:r w:rsidRPr="006400DE">
        <w:rPr>
          <w:rFonts w:ascii="Times New Roman" w:eastAsia="Arial" w:hAnsi="Times New Roman"/>
          <w:sz w:val="24"/>
          <w:szCs w:val="24"/>
        </w:rPr>
        <w:t xml:space="preserve"> </w:t>
      </w:r>
      <w:r w:rsidRPr="006400DE">
        <w:rPr>
          <w:rFonts w:ascii="Times New Roman" w:eastAsia="Arial" w:hAnsi="Times New Roman"/>
          <w:i/>
          <w:iCs/>
          <w:sz w:val="24"/>
          <w:szCs w:val="24"/>
        </w:rPr>
        <w:t>cloud</w:t>
      </w:r>
      <w:r w:rsidR="00992FF1" w:rsidRPr="006400DE">
        <w:rPr>
          <w:rFonts w:ascii="Times New Roman" w:eastAsia="Arial" w:hAnsi="Times New Roman"/>
          <w:sz w:val="24"/>
          <w:szCs w:val="24"/>
        </w:rPr>
        <w:t xml:space="preserve"> a un altro</w:t>
      </w:r>
      <w:r w:rsidR="00221729" w:rsidRPr="006400DE">
        <w:rPr>
          <w:rFonts w:ascii="Times New Roman" w:eastAsia="Arial" w:hAnsi="Times New Roman"/>
          <w:sz w:val="24"/>
          <w:szCs w:val="24"/>
        </w:rPr>
        <w:t xml:space="preserve">. </w:t>
      </w:r>
      <w:r w:rsidRPr="006400DE">
        <w:rPr>
          <w:rFonts w:ascii="Times New Roman" w:eastAsia="Arial" w:hAnsi="Times New Roman"/>
          <w:sz w:val="24"/>
          <w:szCs w:val="24"/>
        </w:rPr>
        <w:t>Tuttavia, lo sviluppo di specifiche comuni in materia di interoperabilità d</w:t>
      </w:r>
      <w:r w:rsidR="00221729" w:rsidRPr="006400DE">
        <w:rPr>
          <w:rFonts w:ascii="Times New Roman" w:eastAsia="Arial" w:hAnsi="Times New Roman"/>
          <w:sz w:val="24"/>
          <w:szCs w:val="24"/>
        </w:rPr>
        <w:t>ovrebbe</w:t>
      </w:r>
      <w:r w:rsidRPr="006400DE">
        <w:rPr>
          <w:rFonts w:ascii="Times New Roman" w:eastAsia="Arial" w:hAnsi="Times New Roman"/>
          <w:sz w:val="24"/>
          <w:szCs w:val="24"/>
        </w:rPr>
        <w:t xml:space="preserve"> avvenire</w:t>
      </w:r>
      <w:r w:rsidR="00221729" w:rsidRPr="006400DE">
        <w:rPr>
          <w:rFonts w:ascii="Times New Roman" w:eastAsia="Arial" w:hAnsi="Times New Roman"/>
          <w:sz w:val="24"/>
          <w:szCs w:val="24"/>
        </w:rPr>
        <w:t xml:space="preserve">, invece che per </w:t>
      </w:r>
      <w:r w:rsidRPr="006400DE">
        <w:rPr>
          <w:rFonts w:ascii="Times New Roman" w:eastAsia="Arial" w:hAnsi="Times New Roman"/>
          <w:sz w:val="24"/>
          <w:szCs w:val="24"/>
        </w:rPr>
        <w:t>via normativa</w:t>
      </w:r>
      <w:r w:rsidR="00221729" w:rsidRPr="006400DE">
        <w:rPr>
          <w:rFonts w:ascii="Times New Roman" w:eastAsia="Arial" w:hAnsi="Times New Roman"/>
          <w:sz w:val="24"/>
          <w:szCs w:val="24"/>
        </w:rPr>
        <w:t>,</w:t>
      </w:r>
      <w:r w:rsidRPr="006400DE">
        <w:rPr>
          <w:rFonts w:ascii="Times New Roman" w:eastAsia="Arial" w:hAnsi="Times New Roman"/>
          <w:sz w:val="24"/>
          <w:szCs w:val="24"/>
        </w:rPr>
        <w:t xml:space="preserve"> </w:t>
      </w:r>
      <w:r w:rsidR="00221729" w:rsidRPr="006400DE">
        <w:rPr>
          <w:rFonts w:ascii="Times New Roman" w:eastAsia="Arial" w:hAnsi="Times New Roman"/>
          <w:sz w:val="24"/>
          <w:szCs w:val="24"/>
        </w:rPr>
        <w:t xml:space="preserve">mediante </w:t>
      </w:r>
      <w:r w:rsidRPr="006400DE">
        <w:rPr>
          <w:rFonts w:ascii="Times New Roman" w:eastAsia="Arial" w:hAnsi="Times New Roman"/>
          <w:sz w:val="24"/>
          <w:szCs w:val="24"/>
        </w:rPr>
        <w:t>il coinvolgi</w:t>
      </w:r>
      <w:r w:rsidR="00444218" w:rsidRPr="006400DE">
        <w:rPr>
          <w:rFonts w:ascii="Times New Roman" w:eastAsia="Arial" w:hAnsi="Times New Roman"/>
          <w:sz w:val="24"/>
          <w:szCs w:val="24"/>
        </w:rPr>
        <w:t>m</w:t>
      </w:r>
      <w:r w:rsidRPr="006400DE">
        <w:rPr>
          <w:rFonts w:ascii="Times New Roman" w:eastAsia="Arial" w:hAnsi="Times New Roman"/>
          <w:sz w:val="24"/>
          <w:szCs w:val="24"/>
        </w:rPr>
        <w:t>ento di organismi riconosciuti di standardizzazione;</w:t>
      </w:r>
    </w:p>
    <w:p w14:paraId="630A1385" w14:textId="5147A5FB" w:rsidR="00FB0F96" w:rsidRPr="006400DE" w:rsidRDefault="00FB6453"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 xml:space="preserve">il chiarimento della definizione di dato personale </w:t>
      </w:r>
      <w:r w:rsidR="00221729" w:rsidRPr="006400DE">
        <w:rPr>
          <w:rFonts w:ascii="Times New Roman" w:eastAsia="Arial" w:hAnsi="Times New Roman"/>
          <w:sz w:val="24"/>
          <w:szCs w:val="24"/>
        </w:rPr>
        <w:t xml:space="preserve">di cui </w:t>
      </w:r>
      <w:r w:rsidRPr="006400DE">
        <w:rPr>
          <w:rFonts w:ascii="Times New Roman" w:eastAsia="Arial" w:hAnsi="Times New Roman"/>
          <w:sz w:val="24"/>
          <w:szCs w:val="24"/>
        </w:rPr>
        <w:t xml:space="preserve">l’articolo 4 del </w:t>
      </w:r>
      <w:r w:rsidR="00ED4B4D" w:rsidRPr="006400DE">
        <w:rPr>
          <w:rFonts w:ascii="Times New Roman" w:eastAsia="Arial" w:hAnsi="Times New Roman"/>
          <w:sz w:val="24"/>
          <w:szCs w:val="24"/>
        </w:rPr>
        <w:t xml:space="preserve">regolamento (UE) 2016/679 (regolamento generale sulla protezione dei dati – </w:t>
      </w:r>
      <w:r w:rsidRPr="006400DE">
        <w:rPr>
          <w:rFonts w:ascii="Times New Roman" w:eastAsia="Arial" w:hAnsi="Times New Roman"/>
          <w:sz w:val="24"/>
          <w:szCs w:val="24"/>
        </w:rPr>
        <w:t>GDPR</w:t>
      </w:r>
      <w:r w:rsidR="00ED4B4D" w:rsidRPr="006400DE">
        <w:rPr>
          <w:rFonts w:ascii="Times New Roman" w:eastAsia="Arial" w:hAnsi="Times New Roman"/>
          <w:sz w:val="24"/>
          <w:szCs w:val="24"/>
        </w:rPr>
        <w:t>)</w:t>
      </w:r>
      <w:r w:rsidRPr="006400DE">
        <w:rPr>
          <w:rFonts w:ascii="Times New Roman" w:eastAsia="Arial" w:hAnsi="Times New Roman"/>
          <w:sz w:val="24"/>
          <w:szCs w:val="24"/>
        </w:rPr>
        <w:t xml:space="preserve">, </w:t>
      </w:r>
      <w:r w:rsidR="00221729" w:rsidRPr="006400DE">
        <w:rPr>
          <w:rFonts w:ascii="Times New Roman" w:eastAsia="Arial" w:hAnsi="Times New Roman"/>
          <w:sz w:val="24"/>
          <w:szCs w:val="24"/>
        </w:rPr>
        <w:t>previsto</w:t>
      </w:r>
      <w:r w:rsidRPr="006400DE">
        <w:rPr>
          <w:rFonts w:ascii="Times New Roman" w:eastAsia="Arial" w:hAnsi="Times New Roman"/>
          <w:sz w:val="24"/>
          <w:szCs w:val="24"/>
        </w:rPr>
        <w:t xml:space="preserve"> </w:t>
      </w:r>
      <w:r w:rsidR="00221729" w:rsidRPr="006400DE">
        <w:rPr>
          <w:rFonts w:ascii="Times New Roman" w:eastAsia="Arial" w:hAnsi="Times New Roman"/>
          <w:sz w:val="24"/>
          <w:szCs w:val="24"/>
        </w:rPr>
        <w:t>dal</w:t>
      </w:r>
      <w:r w:rsidRPr="006400DE">
        <w:rPr>
          <w:rFonts w:ascii="Times New Roman" w:eastAsia="Arial" w:hAnsi="Times New Roman"/>
          <w:sz w:val="24"/>
          <w:szCs w:val="24"/>
        </w:rPr>
        <w:t>l’articolo 3, paragrafo 1, della proposta, se da un lato appare coerente con l’approccio basato sul rischio</w:t>
      </w:r>
      <w:r w:rsidR="00221729" w:rsidRPr="006400DE">
        <w:rPr>
          <w:rFonts w:ascii="Times New Roman" w:eastAsia="Arial" w:hAnsi="Times New Roman"/>
          <w:sz w:val="24"/>
          <w:szCs w:val="24"/>
        </w:rPr>
        <w:t xml:space="preserve"> alla base della</w:t>
      </w:r>
      <w:r w:rsidRPr="006400DE">
        <w:rPr>
          <w:rFonts w:ascii="Times New Roman" w:eastAsia="Arial" w:hAnsi="Times New Roman"/>
          <w:sz w:val="24"/>
          <w:szCs w:val="24"/>
        </w:rPr>
        <w:t xml:space="preserve"> normativa europea sull’intelligenza artificiale</w:t>
      </w:r>
      <w:r w:rsidR="00221729" w:rsidRPr="006400DE">
        <w:rPr>
          <w:rFonts w:ascii="Times New Roman" w:eastAsia="Arial" w:hAnsi="Times New Roman"/>
          <w:sz w:val="24"/>
          <w:szCs w:val="24"/>
        </w:rPr>
        <w:t xml:space="preserve"> (IA)</w:t>
      </w:r>
      <w:r w:rsidRPr="006400DE">
        <w:rPr>
          <w:rFonts w:ascii="Times New Roman" w:eastAsia="Arial" w:hAnsi="Times New Roman"/>
          <w:sz w:val="24"/>
          <w:szCs w:val="24"/>
        </w:rPr>
        <w:t>, dall’altro</w:t>
      </w:r>
      <w:r w:rsidR="007839D8" w:rsidRPr="006400DE">
        <w:rPr>
          <w:rFonts w:ascii="Times New Roman" w:eastAsia="Arial" w:hAnsi="Times New Roman"/>
          <w:sz w:val="24"/>
          <w:szCs w:val="24"/>
        </w:rPr>
        <w:t>,</w:t>
      </w:r>
      <w:r w:rsidRPr="006400DE">
        <w:rPr>
          <w:rFonts w:ascii="Times New Roman" w:eastAsia="Arial" w:hAnsi="Times New Roman"/>
          <w:sz w:val="24"/>
          <w:szCs w:val="24"/>
        </w:rPr>
        <w:t xml:space="preserve"> </w:t>
      </w:r>
      <w:r w:rsidR="00221729" w:rsidRPr="006400DE">
        <w:rPr>
          <w:rFonts w:ascii="Times New Roman" w:eastAsia="Arial" w:hAnsi="Times New Roman"/>
          <w:sz w:val="24"/>
          <w:szCs w:val="24"/>
        </w:rPr>
        <w:t xml:space="preserve">introduce </w:t>
      </w:r>
      <w:r w:rsidRPr="006400DE">
        <w:rPr>
          <w:rFonts w:ascii="Times New Roman" w:eastAsia="Arial" w:hAnsi="Times New Roman"/>
          <w:sz w:val="24"/>
          <w:szCs w:val="24"/>
        </w:rPr>
        <w:t>un criterio soggettivo che potrebbe restringere eccessivamente tale definizione</w:t>
      </w:r>
      <w:r w:rsidR="00FB0F96" w:rsidRPr="006400DE">
        <w:rPr>
          <w:rFonts w:ascii="Times New Roman" w:eastAsia="Arial" w:hAnsi="Times New Roman"/>
          <w:sz w:val="24"/>
          <w:szCs w:val="24"/>
        </w:rPr>
        <w:t>;</w:t>
      </w:r>
    </w:p>
    <w:p w14:paraId="1B5369AF" w14:textId="23B00B8A" w:rsidR="00FB6453" w:rsidRPr="006400DE" w:rsidRDefault="00720C70"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così come riformulata</w:t>
      </w:r>
      <w:r w:rsidR="00B3107A" w:rsidRPr="006400DE">
        <w:rPr>
          <w:rFonts w:ascii="Times New Roman" w:eastAsia="Arial" w:hAnsi="Times New Roman"/>
          <w:sz w:val="24"/>
          <w:szCs w:val="24"/>
        </w:rPr>
        <w:t xml:space="preserve">, </w:t>
      </w:r>
      <w:r w:rsidR="007839D8" w:rsidRPr="006400DE">
        <w:rPr>
          <w:rFonts w:ascii="Times New Roman" w:eastAsia="Arial" w:hAnsi="Times New Roman"/>
          <w:sz w:val="24"/>
          <w:szCs w:val="24"/>
        </w:rPr>
        <w:t>l</w:t>
      </w:r>
      <w:r w:rsidR="00FB6453" w:rsidRPr="006400DE">
        <w:rPr>
          <w:rFonts w:ascii="Times New Roman" w:eastAsia="Arial" w:hAnsi="Times New Roman"/>
          <w:sz w:val="24"/>
          <w:szCs w:val="24"/>
        </w:rPr>
        <w:t>a nozione di dato personale non sarebbe</w:t>
      </w:r>
      <w:r w:rsidR="00FB0F96" w:rsidRPr="006400DE">
        <w:rPr>
          <w:rFonts w:ascii="Times New Roman" w:eastAsia="Arial" w:hAnsi="Times New Roman"/>
          <w:sz w:val="24"/>
          <w:szCs w:val="24"/>
        </w:rPr>
        <w:t xml:space="preserve"> </w:t>
      </w:r>
      <w:r w:rsidR="00FB6453" w:rsidRPr="006400DE">
        <w:rPr>
          <w:rFonts w:ascii="Times New Roman" w:eastAsia="Arial" w:hAnsi="Times New Roman"/>
          <w:sz w:val="24"/>
          <w:szCs w:val="24"/>
        </w:rPr>
        <w:t xml:space="preserve">più valutata in astratto, bensì in relazione alla possibilità </w:t>
      </w:r>
      <w:r w:rsidR="007839D8" w:rsidRPr="006400DE">
        <w:rPr>
          <w:rFonts w:ascii="Times New Roman" w:eastAsia="Arial" w:hAnsi="Times New Roman"/>
          <w:sz w:val="24"/>
          <w:szCs w:val="24"/>
        </w:rPr>
        <w:t xml:space="preserve">di una entità terza </w:t>
      </w:r>
      <w:r w:rsidR="00FB6453" w:rsidRPr="006400DE">
        <w:rPr>
          <w:rFonts w:ascii="Times New Roman" w:eastAsia="Arial" w:hAnsi="Times New Roman"/>
          <w:sz w:val="24"/>
          <w:szCs w:val="24"/>
        </w:rPr>
        <w:t xml:space="preserve">di </w:t>
      </w:r>
      <w:r w:rsidR="007839D8" w:rsidRPr="006400DE">
        <w:rPr>
          <w:rFonts w:ascii="Times New Roman" w:eastAsia="Arial" w:hAnsi="Times New Roman"/>
          <w:sz w:val="24"/>
          <w:szCs w:val="24"/>
        </w:rPr>
        <w:t>identificare, secondo i mezzi ragionevolmente a sua disposizione, la persona fisica a cui si riferiscono le informazioni</w:t>
      </w:r>
      <w:r w:rsidR="00FB0F96" w:rsidRPr="006400DE">
        <w:rPr>
          <w:rFonts w:ascii="Times New Roman" w:eastAsia="Arial" w:hAnsi="Times New Roman"/>
          <w:sz w:val="24"/>
          <w:szCs w:val="24"/>
        </w:rPr>
        <w:t>, generando il rischio che interpretazioni e valutazioni differenti determin</w:t>
      </w:r>
      <w:r w:rsidR="00B3107A" w:rsidRPr="006400DE">
        <w:rPr>
          <w:rFonts w:ascii="Times New Roman" w:eastAsia="Arial" w:hAnsi="Times New Roman"/>
          <w:sz w:val="24"/>
          <w:szCs w:val="24"/>
        </w:rPr>
        <w:t>ino</w:t>
      </w:r>
      <w:r w:rsidR="00FB0F96" w:rsidRPr="006400DE">
        <w:rPr>
          <w:rFonts w:ascii="Times New Roman" w:eastAsia="Arial" w:hAnsi="Times New Roman"/>
          <w:sz w:val="24"/>
          <w:szCs w:val="24"/>
        </w:rPr>
        <w:t xml:space="preserve"> incertezza </w:t>
      </w:r>
      <w:r w:rsidR="00B3107A" w:rsidRPr="006400DE">
        <w:rPr>
          <w:rFonts w:ascii="Times New Roman" w:eastAsia="Arial" w:hAnsi="Times New Roman"/>
          <w:sz w:val="24"/>
          <w:szCs w:val="24"/>
        </w:rPr>
        <w:t xml:space="preserve">relativamente a profili quali la responsabilità e le determinazioni </w:t>
      </w:r>
      <w:r w:rsidR="00FB0F96" w:rsidRPr="006400DE">
        <w:rPr>
          <w:rFonts w:ascii="Times New Roman" w:eastAsia="Arial" w:hAnsi="Times New Roman"/>
          <w:sz w:val="24"/>
          <w:szCs w:val="24"/>
        </w:rPr>
        <w:t>contrattuali tra le parti;</w:t>
      </w:r>
    </w:p>
    <w:p w14:paraId="61BE5D24" w14:textId="12A264FD" w:rsidR="00BD7CFC" w:rsidRPr="006400DE" w:rsidRDefault="00BD7CFC"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 xml:space="preserve">l’articolo 3, paragrafo 1, punto b), della proposta modifica l’articolo 4 del GDPR </w:t>
      </w:r>
      <w:r w:rsidR="007A111D" w:rsidRPr="006400DE">
        <w:rPr>
          <w:rFonts w:ascii="Times New Roman" w:eastAsia="Arial" w:hAnsi="Times New Roman"/>
          <w:sz w:val="24"/>
          <w:szCs w:val="24"/>
        </w:rPr>
        <w:t>al fine di</w:t>
      </w:r>
      <w:r w:rsidRPr="006400DE">
        <w:rPr>
          <w:rFonts w:ascii="Times New Roman" w:eastAsia="Arial" w:hAnsi="Times New Roman"/>
          <w:sz w:val="24"/>
          <w:szCs w:val="24"/>
        </w:rPr>
        <w:t xml:space="preserve"> inserire la definizione di ricerca scientifica, non escludendo che essa possa anche mirare a promuovere un interesse commerciale</w:t>
      </w:r>
      <w:r w:rsidR="007A111D" w:rsidRPr="006400DE">
        <w:rPr>
          <w:rFonts w:ascii="Times New Roman" w:eastAsia="Arial" w:hAnsi="Times New Roman"/>
          <w:sz w:val="24"/>
          <w:szCs w:val="24"/>
        </w:rPr>
        <w:t xml:space="preserve">. In tal modo, </w:t>
      </w:r>
      <w:r w:rsidR="00421617" w:rsidRPr="006400DE">
        <w:rPr>
          <w:rFonts w:ascii="Times New Roman" w:eastAsia="Arial" w:hAnsi="Times New Roman"/>
          <w:sz w:val="24"/>
          <w:szCs w:val="24"/>
        </w:rPr>
        <w:t xml:space="preserve">considerata </w:t>
      </w:r>
      <w:r w:rsidR="007A111D" w:rsidRPr="006400DE">
        <w:rPr>
          <w:rFonts w:ascii="Times New Roman" w:eastAsia="Arial" w:hAnsi="Times New Roman"/>
          <w:sz w:val="24"/>
          <w:szCs w:val="24"/>
        </w:rPr>
        <w:t xml:space="preserve">anche </w:t>
      </w:r>
      <w:r w:rsidR="00421617" w:rsidRPr="006400DE">
        <w:rPr>
          <w:rFonts w:ascii="Times New Roman" w:eastAsia="Arial" w:hAnsi="Times New Roman"/>
          <w:sz w:val="24"/>
          <w:szCs w:val="24"/>
        </w:rPr>
        <w:t>la modifica prevista dall’articolo 3, paragrafo 2, che interviene sull’articolo 5, paragrafo 1, lettera b), del GDPR</w:t>
      </w:r>
      <w:r w:rsidR="007A111D" w:rsidRPr="006400DE">
        <w:rPr>
          <w:rFonts w:ascii="Times New Roman" w:eastAsia="Arial" w:hAnsi="Times New Roman"/>
          <w:sz w:val="24"/>
          <w:szCs w:val="24"/>
        </w:rPr>
        <w:t xml:space="preserve"> per </w:t>
      </w:r>
      <w:r w:rsidR="00421617" w:rsidRPr="006400DE">
        <w:rPr>
          <w:rFonts w:ascii="Times New Roman" w:eastAsia="Arial" w:hAnsi="Times New Roman"/>
          <w:sz w:val="24"/>
          <w:szCs w:val="24"/>
        </w:rPr>
        <w:t>prevede</w:t>
      </w:r>
      <w:r w:rsidR="007A111D" w:rsidRPr="006400DE">
        <w:rPr>
          <w:rFonts w:ascii="Times New Roman" w:eastAsia="Arial" w:hAnsi="Times New Roman"/>
          <w:sz w:val="24"/>
          <w:szCs w:val="24"/>
        </w:rPr>
        <w:t>re</w:t>
      </w:r>
      <w:r w:rsidR="00421617" w:rsidRPr="006400DE">
        <w:rPr>
          <w:rFonts w:ascii="Times New Roman" w:eastAsia="Arial" w:hAnsi="Times New Roman"/>
          <w:sz w:val="24"/>
          <w:szCs w:val="24"/>
        </w:rPr>
        <w:t xml:space="preserve"> che l’ulteriore trattamento dei dati personali a fini di ricerca scientifica è considerato compatibile con le finalità iniziali indipendentemente dalla verifica di compatibilità caso per caso prevista dall’articolo 6, paragrafo 4, del</w:t>
      </w:r>
      <w:r w:rsidR="00720C70" w:rsidRPr="006400DE">
        <w:rPr>
          <w:rFonts w:ascii="Times New Roman" w:eastAsia="Arial" w:hAnsi="Times New Roman"/>
          <w:sz w:val="24"/>
          <w:szCs w:val="24"/>
        </w:rPr>
        <w:t>lo stesso</w:t>
      </w:r>
      <w:r w:rsidR="00421617" w:rsidRPr="006400DE">
        <w:rPr>
          <w:rFonts w:ascii="Times New Roman" w:eastAsia="Arial" w:hAnsi="Times New Roman"/>
          <w:sz w:val="24"/>
          <w:szCs w:val="24"/>
        </w:rPr>
        <w:t xml:space="preserve"> GDPR, </w:t>
      </w:r>
      <w:r w:rsidR="007A111D" w:rsidRPr="006400DE">
        <w:rPr>
          <w:rFonts w:ascii="Times New Roman" w:eastAsia="Arial" w:hAnsi="Times New Roman"/>
          <w:sz w:val="24"/>
          <w:szCs w:val="24"/>
        </w:rPr>
        <w:t xml:space="preserve">le </w:t>
      </w:r>
      <w:r w:rsidR="00720C70" w:rsidRPr="006400DE">
        <w:rPr>
          <w:rFonts w:ascii="Times New Roman" w:eastAsia="Arial" w:hAnsi="Times New Roman"/>
          <w:sz w:val="24"/>
          <w:szCs w:val="24"/>
        </w:rPr>
        <w:t xml:space="preserve">citate </w:t>
      </w:r>
      <w:r w:rsidR="007A111D" w:rsidRPr="006400DE">
        <w:rPr>
          <w:rFonts w:ascii="Times New Roman" w:eastAsia="Arial" w:hAnsi="Times New Roman"/>
          <w:sz w:val="24"/>
          <w:szCs w:val="24"/>
        </w:rPr>
        <w:t xml:space="preserve">disposizioni potrebbero stabilire </w:t>
      </w:r>
      <w:r w:rsidRPr="006400DE">
        <w:rPr>
          <w:rFonts w:ascii="Times New Roman" w:eastAsia="Arial" w:hAnsi="Times New Roman"/>
          <w:sz w:val="24"/>
          <w:szCs w:val="24"/>
        </w:rPr>
        <w:t>la disponibilità perpetua dei dati personali</w:t>
      </w:r>
      <w:r w:rsidR="007A111D" w:rsidRPr="006400DE">
        <w:rPr>
          <w:rFonts w:ascii="Times New Roman" w:eastAsia="Arial" w:hAnsi="Times New Roman"/>
          <w:sz w:val="24"/>
          <w:szCs w:val="24"/>
        </w:rPr>
        <w:t xml:space="preserve"> raccolti ai fini di ricerca scientifica</w:t>
      </w:r>
      <w:r w:rsidRPr="006400DE">
        <w:rPr>
          <w:rFonts w:ascii="Times New Roman" w:eastAsia="Arial" w:hAnsi="Times New Roman"/>
          <w:sz w:val="24"/>
          <w:szCs w:val="24"/>
        </w:rPr>
        <w:t xml:space="preserve"> anche </w:t>
      </w:r>
      <w:r w:rsidR="007A111D" w:rsidRPr="006400DE">
        <w:rPr>
          <w:rFonts w:ascii="Times New Roman" w:eastAsia="Arial" w:hAnsi="Times New Roman"/>
          <w:sz w:val="24"/>
          <w:szCs w:val="24"/>
        </w:rPr>
        <w:t xml:space="preserve">per </w:t>
      </w:r>
      <w:r w:rsidRPr="006400DE">
        <w:rPr>
          <w:rFonts w:ascii="Times New Roman" w:eastAsia="Arial" w:hAnsi="Times New Roman"/>
          <w:sz w:val="24"/>
          <w:szCs w:val="24"/>
        </w:rPr>
        <w:t>fini commerciali;</w:t>
      </w:r>
    </w:p>
    <w:p w14:paraId="2C8C6761" w14:textId="4BCE2221" w:rsidR="00416470" w:rsidRPr="006400DE" w:rsidRDefault="00961AEC"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non risultano sufficientemente chiariti i criteri validi per la valutazione della sproporzione dello sforzo che esonera il titolare del trattamento, ai sensi delle modifiche prospettate dall’articolo 3, paragrafo 3, dall’eliminazione delle categorie particolari di dati personali di cui all’articolo 9 del GDPR, qualora tali dati fossero individuati negli insiemi utilizzati per l’addestramento, la prova o la convalida oppure all’interno del sistema o del modello di IA nonostante l’adozione di misure organizzative e tecniche</w:t>
      </w:r>
      <w:r w:rsidR="00144DD7" w:rsidRPr="006400DE">
        <w:rPr>
          <w:rFonts w:ascii="Times New Roman" w:eastAsia="Arial" w:hAnsi="Times New Roman"/>
          <w:sz w:val="24"/>
          <w:szCs w:val="24"/>
        </w:rPr>
        <w:t>;</w:t>
      </w:r>
    </w:p>
    <w:p w14:paraId="09CFFA9B" w14:textId="11B7A8E2" w:rsidR="004A23A8" w:rsidRPr="006400DE" w:rsidRDefault="00D00241"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la</w:t>
      </w:r>
      <w:r w:rsidR="00720C70" w:rsidRPr="006400DE">
        <w:rPr>
          <w:rFonts w:ascii="Times New Roman" w:eastAsia="Arial" w:hAnsi="Times New Roman"/>
          <w:sz w:val="24"/>
          <w:szCs w:val="24"/>
        </w:rPr>
        <w:t xml:space="preserve"> modifica della</w:t>
      </w:r>
      <w:r w:rsidRPr="006400DE">
        <w:rPr>
          <w:rFonts w:ascii="Times New Roman" w:eastAsia="Arial" w:hAnsi="Times New Roman"/>
          <w:sz w:val="24"/>
          <w:szCs w:val="24"/>
        </w:rPr>
        <w:t xml:space="preserve"> prevision</w:t>
      </w:r>
      <w:r w:rsidR="00720C70" w:rsidRPr="006400DE">
        <w:rPr>
          <w:rFonts w:ascii="Times New Roman" w:eastAsia="Arial" w:hAnsi="Times New Roman"/>
          <w:sz w:val="24"/>
          <w:szCs w:val="24"/>
        </w:rPr>
        <w:t>e</w:t>
      </w:r>
      <w:r w:rsidRPr="006400DE">
        <w:rPr>
          <w:rFonts w:ascii="Times New Roman" w:eastAsia="Arial" w:hAnsi="Times New Roman"/>
          <w:sz w:val="24"/>
          <w:szCs w:val="24"/>
        </w:rPr>
        <w:t xml:space="preserve"> in tema di esercizio del diritto di accesso di cui all’articolo 3, paragrafo 4,</w:t>
      </w:r>
      <w:r w:rsidR="00720C70" w:rsidRPr="006400DE">
        <w:rPr>
          <w:rFonts w:ascii="Times New Roman" w:eastAsia="Arial" w:hAnsi="Times New Roman"/>
          <w:sz w:val="24"/>
          <w:szCs w:val="24"/>
        </w:rPr>
        <w:t xml:space="preserve"> della proposta,</w:t>
      </w:r>
      <w:r w:rsidRPr="006400DE">
        <w:rPr>
          <w:rFonts w:ascii="Times New Roman" w:eastAsia="Arial" w:hAnsi="Times New Roman"/>
          <w:sz w:val="24"/>
          <w:szCs w:val="24"/>
        </w:rPr>
        <w:t xml:space="preserve"> che consente il rifiuto o la subordinazione a un contributo spese ragionevole</w:t>
      </w:r>
      <w:r w:rsidR="009928AF" w:rsidRPr="006400DE">
        <w:rPr>
          <w:rFonts w:ascii="Times New Roman" w:eastAsia="Arial" w:hAnsi="Times New Roman"/>
          <w:sz w:val="24"/>
          <w:szCs w:val="24"/>
        </w:rPr>
        <w:t xml:space="preserve"> delle istanze nel caso in cui l’interessato violi i diritti conferiti dal GDPR per finalità diverse dalla protezione dei suoi dati, non appare coerente con la giurisprudenza della Corte di giustizia dell’Unione che riconosce che tale regolamento è volto a tutelare, con il diritto alla protezione dei dati, anche altri diritti e libertà fondamentali</w:t>
      </w:r>
      <w:r w:rsidR="008963B9" w:rsidRPr="006400DE">
        <w:rPr>
          <w:rFonts w:ascii="Times New Roman" w:eastAsia="Arial" w:hAnsi="Times New Roman"/>
          <w:sz w:val="24"/>
          <w:szCs w:val="24"/>
        </w:rPr>
        <w:t>;</w:t>
      </w:r>
    </w:p>
    <w:p w14:paraId="75F218CC" w14:textId="751246AA" w:rsidR="00B420B7" w:rsidRPr="006400DE" w:rsidRDefault="00B420B7"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 xml:space="preserve">la nuova formulazione dell’articolo 13, paragrafo 4, del GDPR, prospettata dall’articolo 3, paragrafo 5, della proposta, che prevede una deroga agli obblighi di informativa di cui ai paragrafi 1, 2 e 3 dello stesso articolo, </w:t>
      </w:r>
      <w:r w:rsidR="00A21279" w:rsidRPr="006400DE">
        <w:rPr>
          <w:rFonts w:ascii="Times New Roman" w:eastAsia="Arial" w:hAnsi="Times New Roman"/>
          <w:sz w:val="24"/>
          <w:szCs w:val="24"/>
        </w:rPr>
        <w:t>potrebbe</w:t>
      </w:r>
      <w:r w:rsidRPr="006400DE">
        <w:rPr>
          <w:rFonts w:ascii="Times New Roman" w:eastAsia="Arial" w:hAnsi="Times New Roman"/>
          <w:sz w:val="24"/>
          <w:szCs w:val="24"/>
        </w:rPr>
        <w:t xml:space="preserve"> determinare interpretazioni disomogenee in relazione al presupposto di </w:t>
      </w:r>
      <w:r w:rsidR="00AB32C1" w:rsidRPr="006400DE">
        <w:rPr>
          <w:rFonts w:ascii="Times New Roman" w:eastAsia="Arial" w:hAnsi="Times New Roman"/>
          <w:sz w:val="24"/>
          <w:szCs w:val="24"/>
        </w:rPr>
        <w:t>trattamenti non intensivi</w:t>
      </w:r>
      <w:r w:rsidRPr="006400DE">
        <w:rPr>
          <w:rFonts w:ascii="Times New Roman" w:eastAsia="Arial" w:hAnsi="Times New Roman"/>
          <w:sz w:val="24"/>
          <w:szCs w:val="24"/>
        </w:rPr>
        <w:t xml:space="preserve"> </w:t>
      </w:r>
      <w:r w:rsidR="00A21279" w:rsidRPr="006400DE">
        <w:rPr>
          <w:rFonts w:ascii="Times New Roman" w:eastAsia="Arial" w:hAnsi="Times New Roman"/>
          <w:sz w:val="24"/>
          <w:szCs w:val="24"/>
        </w:rPr>
        <w:t>poiché tale concetto non sembra</w:t>
      </w:r>
      <w:r w:rsidRPr="006400DE">
        <w:rPr>
          <w:rFonts w:ascii="Times New Roman" w:eastAsia="Arial" w:hAnsi="Times New Roman"/>
          <w:sz w:val="24"/>
          <w:szCs w:val="24"/>
        </w:rPr>
        <w:t xml:space="preserve"> </w:t>
      </w:r>
      <w:r w:rsidR="00AB32C1" w:rsidRPr="006400DE">
        <w:rPr>
          <w:rFonts w:ascii="Times New Roman" w:eastAsia="Arial" w:hAnsi="Times New Roman"/>
          <w:sz w:val="24"/>
          <w:szCs w:val="24"/>
        </w:rPr>
        <w:t>adeguatamente circoscritt</w:t>
      </w:r>
      <w:r w:rsidR="00A21279" w:rsidRPr="006400DE">
        <w:rPr>
          <w:rFonts w:ascii="Times New Roman" w:eastAsia="Arial" w:hAnsi="Times New Roman"/>
          <w:sz w:val="24"/>
          <w:szCs w:val="24"/>
        </w:rPr>
        <w:t>o</w:t>
      </w:r>
      <w:r w:rsidR="00AB32C1" w:rsidRPr="006400DE">
        <w:rPr>
          <w:rFonts w:ascii="Times New Roman" w:eastAsia="Arial" w:hAnsi="Times New Roman"/>
          <w:sz w:val="24"/>
          <w:szCs w:val="24"/>
        </w:rPr>
        <w:t xml:space="preserve"> </w:t>
      </w:r>
      <w:r w:rsidR="00720C70" w:rsidRPr="006400DE">
        <w:rPr>
          <w:rFonts w:ascii="Times New Roman" w:eastAsia="Arial" w:hAnsi="Times New Roman"/>
          <w:sz w:val="24"/>
          <w:szCs w:val="24"/>
        </w:rPr>
        <w:t xml:space="preserve">a livello </w:t>
      </w:r>
      <w:r w:rsidR="00AB32C1" w:rsidRPr="006400DE">
        <w:rPr>
          <w:rFonts w:ascii="Times New Roman" w:eastAsia="Arial" w:hAnsi="Times New Roman"/>
          <w:sz w:val="24"/>
          <w:szCs w:val="24"/>
        </w:rPr>
        <w:t>operativ</w:t>
      </w:r>
      <w:r w:rsidR="00720C70" w:rsidRPr="006400DE">
        <w:rPr>
          <w:rFonts w:ascii="Times New Roman" w:eastAsia="Arial" w:hAnsi="Times New Roman"/>
          <w:sz w:val="24"/>
          <w:szCs w:val="24"/>
        </w:rPr>
        <w:t>o</w:t>
      </w:r>
      <w:r w:rsidR="00AB32C1" w:rsidRPr="006400DE">
        <w:rPr>
          <w:rFonts w:ascii="Times New Roman" w:eastAsia="Arial" w:hAnsi="Times New Roman"/>
          <w:sz w:val="24"/>
          <w:szCs w:val="24"/>
        </w:rPr>
        <w:t>;</w:t>
      </w:r>
    </w:p>
    <w:p w14:paraId="06FC21DE" w14:textId="148C4D8B" w:rsidR="00540A1B" w:rsidRPr="006400DE" w:rsidRDefault="00540A1B"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 xml:space="preserve">analogamente, la modifica </w:t>
      </w:r>
      <w:r w:rsidR="00A21279" w:rsidRPr="006400DE">
        <w:rPr>
          <w:rFonts w:ascii="Times New Roman" w:eastAsia="Arial" w:hAnsi="Times New Roman"/>
          <w:sz w:val="24"/>
          <w:szCs w:val="24"/>
        </w:rPr>
        <w:t>disposta dall’articolo 3, paragrafo 7, all</w:t>
      </w:r>
      <w:r w:rsidRPr="006400DE">
        <w:rPr>
          <w:rFonts w:ascii="Times New Roman" w:eastAsia="Arial" w:hAnsi="Times New Roman"/>
          <w:sz w:val="24"/>
          <w:szCs w:val="24"/>
        </w:rPr>
        <w:t>’articolo 22 del GDPR</w:t>
      </w:r>
      <w:r w:rsidR="00A21279" w:rsidRPr="006400DE">
        <w:rPr>
          <w:rFonts w:ascii="Times New Roman" w:eastAsia="Arial" w:hAnsi="Times New Roman"/>
          <w:sz w:val="24"/>
          <w:szCs w:val="24"/>
        </w:rPr>
        <w:t xml:space="preserve"> </w:t>
      </w:r>
      <w:r w:rsidRPr="006400DE">
        <w:rPr>
          <w:rFonts w:ascii="Times New Roman" w:eastAsia="Arial" w:hAnsi="Times New Roman"/>
          <w:sz w:val="24"/>
          <w:szCs w:val="24"/>
        </w:rPr>
        <w:t>potrebbe prestarsi ad interpretazioni arbitrarie</w:t>
      </w:r>
      <w:r w:rsidR="00895FE2" w:rsidRPr="006400DE">
        <w:rPr>
          <w:rFonts w:ascii="Times New Roman" w:eastAsia="Arial" w:hAnsi="Times New Roman"/>
          <w:sz w:val="24"/>
          <w:szCs w:val="24"/>
        </w:rPr>
        <w:t xml:space="preserve"> e applicazioni disomogenee tra gli Stati membri</w:t>
      </w:r>
      <w:r w:rsidRPr="006400DE">
        <w:rPr>
          <w:rFonts w:ascii="Times New Roman" w:eastAsia="Arial" w:hAnsi="Times New Roman"/>
          <w:sz w:val="24"/>
          <w:szCs w:val="24"/>
        </w:rPr>
        <w:t xml:space="preserve"> </w:t>
      </w:r>
      <w:r w:rsidR="00A21279" w:rsidRPr="006400DE">
        <w:rPr>
          <w:rFonts w:ascii="Times New Roman" w:eastAsia="Arial" w:hAnsi="Times New Roman"/>
          <w:sz w:val="24"/>
          <w:szCs w:val="24"/>
        </w:rPr>
        <w:t>in quanto</w:t>
      </w:r>
      <w:r w:rsidR="00895FE2" w:rsidRPr="006400DE">
        <w:rPr>
          <w:rFonts w:ascii="Times New Roman" w:eastAsia="Arial" w:hAnsi="Times New Roman"/>
          <w:sz w:val="24"/>
          <w:szCs w:val="24"/>
        </w:rPr>
        <w:t xml:space="preserve">, rovesciando la struttura logica della norma, </w:t>
      </w:r>
      <w:r w:rsidRPr="006400DE">
        <w:rPr>
          <w:rFonts w:ascii="Times New Roman" w:eastAsia="Arial" w:hAnsi="Times New Roman"/>
          <w:sz w:val="24"/>
          <w:szCs w:val="24"/>
        </w:rPr>
        <w:t xml:space="preserve">l’aggiunta dell’inciso “indipendentemente dal fatto che la decisione possa essere presa con mezzi diversi da quelli esclusivamente automatizzati”, al paragrafo 1, lettera a), </w:t>
      </w:r>
      <w:r w:rsidR="00895FE2" w:rsidRPr="006400DE">
        <w:rPr>
          <w:rFonts w:ascii="Times New Roman" w:eastAsia="Arial" w:hAnsi="Times New Roman"/>
          <w:sz w:val="24"/>
          <w:szCs w:val="24"/>
        </w:rPr>
        <w:t xml:space="preserve">neutralizza il requisito di necessità </w:t>
      </w:r>
      <w:r w:rsidR="00CE0E40" w:rsidRPr="006400DE">
        <w:rPr>
          <w:rFonts w:ascii="Times New Roman" w:eastAsia="Arial" w:hAnsi="Times New Roman"/>
          <w:sz w:val="24"/>
          <w:szCs w:val="24"/>
        </w:rPr>
        <w:t>presente</w:t>
      </w:r>
      <w:r w:rsidR="00895FE2" w:rsidRPr="006400DE">
        <w:rPr>
          <w:rFonts w:ascii="Times New Roman" w:eastAsia="Arial" w:hAnsi="Times New Roman"/>
          <w:sz w:val="24"/>
          <w:szCs w:val="24"/>
        </w:rPr>
        <w:t xml:space="preserve"> nella versione vigente;</w:t>
      </w:r>
    </w:p>
    <w:p w14:paraId="0DA1A38D" w14:textId="7AB6E4A0" w:rsidR="00FB6453" w:rsidRPr="006400DE" w:rsidRDefault="0019613C"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 xml:space="preserve">il rinvio </w:t>
      </w:r>
      <w:r w:rsidR="00397C2B" w:rsidRPr="006400DE">
        <w:rPr>
          <w:rFonts w:ascii="Times New Roman" w:eastAsia="Arial" w:hAnsi="Times New Roman"/>
          <w:sz w:val="24"/>
          <w:szCs w:val="24"/>
        </w:rPr>
        <w:t xml:space="preserve">introdotto dall’articolo 3, paragrafo 10, </w:t>
      </w:r>
      <w:r w:rsidRPr="006400DE">
        <w:rPr>
          <w:rFonts w:ascii="Times New Roman" w:eastAsia="Arial" w:hAnsi="Times New Roman"/>
          <w:sz w:val="24"/>
          <w:szCs w:val="24"/>
        </w:rPr>
        <w:t xml:space="preserve">ad atti di esecuzione della Commissione europea </w:t>
      </w:r>
      <w:r w:rsidR="0081483D" w:rsidRPr="006400DE">
        <w:rPr>
          <w:rFonts w:ascii="Times New Roman" w:eastAsia="Arial" w:hAnsi="Times New Roman"/>
          <w:sz w:val="24"/>
          <w:szCs w:val="24"/>
        </w:rPr>
        <w:t xml:space="preserve">per specificare i mezzi e i criteri utili a determinare se i dati risultanti dalla </w:t>
      </w:r>
      <w:proofErr w:type="spellStart"/>
      <w:r w:rsidR="0081483D" w:rsidRPr="006400DE">
        <w:rPr>
          <w:rFonts w:ascii="Times New Roman" w:eastAsia="Arial" w:hAnsi="Times New Roman"/>
          <w:sz w:val="24"/>
          <w:szCs w:val="24"/>
        </w:rPr>
        <w:t>pseudonimizzazione</w:t>
      </w:r>
      <w:proofErr w:type="spellEnd"/>
      <w:r w:rsidR="0081483D" w:rsidRPr="006400DE">
        <w:rPr>
          <w:rFonts w:ascii="Times New Roman" w:eastAsia="Arial" w:hAnsi="Times New Roman"/>
          <w:sz w:val="24"/>
          <w:szCs w:val="24"/>
        </w:rPr>
        <w:t xml:space="preserve"> non costituiscano dati personali</w:t>
      </w:r>
      <w:r w:rsidRPr="006400DE">
        <w:rPr>
          <w:rFonts w:ascii="Times New Roman" w:eastAsia="Arial" w:hAnsi="Times New Roman"/>
          <w:sz w:val="24"/>
          <w:szCs w:val="24"/>
        </w:rPr>
        <w:t xml:space="preserve">, previsto </w:t>
      </w:r>
      <w:r w:rsidR="00397C2B" w:rsidRPr="006400DE">
        <w:rPr>
          <w:rFonts w:ascii="Times New Roman" w:eastAsia="Arial" w:hAnsi="Times New Roman"/>
          <w:sz w:val="24"/>
          <w:szCs w:val="24"/>
        </w:rPr>
        <w:t>con l’introduzione del</w:t>
      </w:r>
      <w:r w:rsidRPr="006400DE">
        <w:rPr>
          <w:rFonts w:ascii="Times New Roman" w:eastAsia="Arial" w:hAnsi="Times New Roman"/>
          <w:sz w:val="24"/>
          <w:szCs w:val="24"/>
        </w:rPr>
        <w:t xml:space="preserve"> nuovo articolo 41 </w:t>
      </w:r>
      <w:r w:rsidRPr="006400DE">
        <w:rPr>
          <w:rFonts w:ascii="Times New Roman" w:eastAsia="Arial" w:hAnsi="Times New Roman"/>
          <w:i/>
          <w:iCs/>
          <w:sz w:val="24"/>
          <w:szCs w:val="24"/>
        </w:rPr>
        <w:t>bis</w:t>
      </w:r>
      <w:r w:rsidRPr="006400DE">
        <w:rPr>
          <w:rFonts w:ascii="Times New Roman" w:eastAsia="Arial" w:hAnsi="Times New Roman"/>
          <w:sz w:val="24"/>
          <w:szCs w:val="24"/>
        </w:rPr>
        <w:t xml:space="preserve"> </w:t>
      </w:r>
      <w:r w:rsidR="00397C2B" w:rsidRPr="006400DE">
        <w:rPr>
          <w:rFonts w:ascii="Times New Roman" w:eastAsia="Arial" w:hAnsi="Times New Roman"/>
          <w:sz w:val="24"/>
          <w:szCs w:val="24"/>
        </w:rPr>
        <w:t>n</w:t>
      </w:r>
      <w:r w:rsidRPr="006400DE">
        <w:rPr>
          <w:rFonts w:ascii="Times New Roman" w:eastAsia="Arial" w:hAnsi="Times New Roman"/>
          <w:sz w:val="24"/>
          <w:szCs w:val="24"/>
        </w:rPr>
        <w:t xml:space="preserve">el GDPR, potrebbe incidere in maniera rilevante sull’ambito di applicazione oggettivo del regolamento. Si ritiene </w:t>
      </w:r>
      <w:r w:rsidR="00397C2B" w:rsidRPr="006400DE">
        <w:rPr>
          <w:rFonts w:ascii="Times New Roman" w:eastAsia="Arial" w:hAnsi="Times New Roman"/>
          <w:sz w:val="24"/>
          <w:szCs w:val="24"/>
        </w:rPr>
        <w:t>pertanto</w:t>
      </w:r>
      <w:r w:rsidRPr="006400DE">
        <w:rPr>
          <w:rFonts w:ascii="Times New Roman" w:eastAsia="Arial" w:hAnsi="Times New Roman"/>
          <w:sz w:val="24"/>
          <w:szCs w:val="24"/>
        </w:rPr>
        <w:t xml:space="preserve"> necessario inserire</w:t>
      </w:r>
      <w:r w:rsidR="00304EF3" w:rsidRPr="006400DE">
        <w:rPr>
          <w:rFonts w:ascii="Times New Roman" w:eastAsia="Arial" w:hAnsi="Times New Roman"/>
          <w:sz w:val="24"/>
          <w:szCs w:val="24"/>
        </w:rPr>
        <w:t xml:space="preserve"> </w:t>
      </w:r>
      <w:r w:rsidR="00397C2B" w:rsidRPr="006400DE">
        <w:rPr>
          <w:rFonts w:ascii="Times New Roman" w:eastAsia="Arial" w:hAnsi="Times New Roman"/>
          <w:sz w:val="24"/>
          <w:szCs w:val="24"/>
        </w:rPr>
        <w:t>u</w:t>
      </w:r>
      <w:r w:rsidR="00304EF3" w:rsidRPr="006400DE">
        <w:rPr>
          <w:rFonts w:ascii="Times New Roman" w:eastAsia="Arial" w:hAnsi="Times New Roman"/>
          <w:sz w:val="24"/>
          <w:szCs w:val="24"/>
        </w:rPr>
        <w:t>n riferimento</w:t>
      </w:r>
      <w:r w:rsidR="0081483D" w:rsidRPr="006400DE">
        <w:rPr>
          <w:rFonts w:ascii="Times New Roman" w:eastAsia="Arial" w:hAnsi="Times New Roman"/>
          <w:sz w:val="24"/>
          <w:szCs w:val="24"/>
        </w:rPr>
        <w:t xml:space="preserve"> esplicito</w:t>
      </w:r>
      <w:r w:rsidR="00397C2B" w:rsidRPr="006400DE">
        <w:rPr>
          <w:rFonts w:ascii="Times New Roman" w:eastAsia="Arial" w:hAnsi="Times New Roman"/>
          <w:sz w:val="24"/>
          <w:szCs w:val="24"/>
        </w:rPr>
        <w:t xml:space="preserve"> nella disposizione</w:t>
      </w:r>
      <w:r w:rsidR="00304EF3" w:rsidRPr="006400DE">
        <w:rPr>
          <w:rFonts w:ascii="Times New Roman" w:eastAsia="Arial" w:hAnsi="Times New Roman"/>
          <w:sz w:val="24"/>
          <w:szCs w:val="24"/>
        </w:rPr>
        <w:t xml:space="preserve"> alle tecnologie </w:t>
      </w:r>
      <w:r w:rsidR="0081483D" w:rsidRPr="006400DE">
        <w:rPr>
          <w:rFonts w:ascii="Times New Roman" w:eastAsia="Arial" w:hAnsi="Times New Roman"/>
          <w:sz w:val="24"/>
          <w:szCs w:val="24"/>
        </w:rPr>
        <w:t xml:space="preserve">di miglioramento della </w:t>
      </w:r>
      <w:r w:rsidR="0081483D" w:rsidRPr="006400DE">
        <w:rPr>
          <w:rFonts w:ascii="Times New Roman" w:eastAsia="Arial" w:hAnsi="Times New Roman"/>
          <w:i/>
          <w:iCs/>
          <w:sz w:val="24"/>
          <w:szCs w:val="24"/>
        </w:rPr>
        <w:t>privacy</w:t>
      </w:r>
      <w:r w:rsidR="0081483D" w:rsidRPr="006400DE">
        <w:rPr>
          <w:rFonts w:ascii="Times New Roman" w:eastAsia="Arial" w:hAnsi="Times New Roman"/>
          <w:sz w:val="24"/>
          <w:szCs w:val="24"/>
        </w:rPr>
        <w:t xml:space="preserve"> </w:t>
      </w:r>
      <w:r w:rsidR="00304EF3" w:rsidRPr="006400DE">
        <w:rPr>
          <w:rFonts w:ascii="Times New Roman" w:eastAsia="Arial" w:hAnsi="Times New Roman"/>
          <w:sz w:val="24"/>
          <w:szCs w:val="24"/>
        </w:rPr>
        <w:t xml:space="preserve">esistenti che </w:t>
      </w:r>
      <w:r w:rsidR="0081483D" w:rsidRPr="006400DE">
        <w:rPr>
          <w:rFonts w:ascii="Times New Roman" w:eastAsia="Arial" w:hAnsi="Times New Roman"/>
          <w:sz w:val="24"/>
          <w:szCs w:val="24"/>
        </w:rPr>
        <w:t>consentono di ridurre al minimo l’uso dei dati personali</w:t>
      </w:r>
      <w:r w:rsidR="00304EF3" w:rsidRPr="006400DE">
        <w:rPr>
          <w:rFonts w:ascii="Times New Roman" w:eastAsia="Arial" w:hAnsi="Times New Roman"/>
          <w:sz w:val="24"/>
          <w:szCs w:val="24"/>
        </w:rPr>
        <w:t>;</w:t>
      </w:r>
    </w:p>
    <w:p w14:paraId="01CCA2DC" w14:textId="77777777" w:rsidR="009862C9" w:rsidRPr="006400DE" w:rsidRDefault="009862C9" w:rsidP="009862C9">
      <w:pPr>
        <w:spacing w:before="0" w:after="120" w:line="300" w:lineRule="atLeast"/>
        <w:rPr>
          <w:rFonts w:ascii="Times New Roman" w:hAnsi="Times New Roman"/>
          <w:sz w:val="24"/>
          <w:szCs w:val="24"/>
        </w:rPr>
      </w:pPr>
      <w:r w:rsidRPr="006400DE">
        <w:rPr>
          <w:rFonts w:ascii="Times New Roman" w:hAnsi="Times New Roman"/>
          <w:sz w:val="24"/>
          <w:szCs w:val="24"/>
        </w:rPr>
        <w:t xml:space="preserve">le disposizioni relative alla gestione del consenso, ai </w:t>
      </w:r>
      <w:r w:rsidRPr="006400DE">
        <w:rPr>
          <w:rFonts w:ascii="Times New Roman" w:hAnsi="Times New Roman"/>
          <w:i/>
          <w:iCs/>
          <w:sz w:val="24"/>
          <w:szCs w:val="24"/>
        </w:rPr>
        <w:t>cookie</w:t>
      </w:r>
      <w:r w:rsidRPr="006400DE">
        <w:rPr>
          <w:rFonts w:ascii="Times New Roman" w:hAnsi="Times New Roman"/>
          <w:sz w:val="24"/>
          <w:szCs w:val="24"/>
        </w:rPr>
        <w:t xml:space="preserve"> ed alla misurazione dell’</w:t>
      </w:r>
      <w:r w:rsidRPr="006400DE">
        <w:rPr>
          <w:rFonts w:ascii="Times New Roman" w:hAnsi="Times New Roman"/>
          <w:i/>
          <w:iCs/>
          <w:sz w:val="24"/>
          <w:szCs w:val="24"/>
        </w:rPr>
        <w:t>audience</w:t>
      </w:r>
      <w:r w:rsidRPr="006400DE">
        <w:rPr>
          <w:rFonts w:ascii="Times New Roman" w:hAnsi="Times New Roman"/>
          <w:sz w:val="24"/>
          <w:szCs w:val="24"/>
        </w:rPr>
        <w:t xml:space="preserve"> costituiscono uno degli ambiti più delicati della proposta, in quanto incidono contemporaneamente sulla tutela della </w:t>
      </w:r>
      <w:r w:rsidRPr="006400DE">
        <w:rPr>
          <w:rFonts w:ascii="Times New Roman" w:hAnsi="Times New Roman"/>
          <w:i/>
          <w:iCs/>
          <w:sz w:val="24"/>
          <w:szCs w:val="24"/>
        </w:rPr>
        <w:t>privacy</w:t>
      </w:r>
      <w:r w:rsidRPr="006400DE">
        <w:rPr>
          <w:rFonts w:ascii="Times New Roman" w:hAnsi="Times New Roman"/>
          <w:sz w:val="24"/>
          <w:szCs w:val="24"/>
        </w:rPr>
        <w:t xml:space="preserve"> degli utenti, sulla sostenibilità economica dell’ecosistema digitale europeo e sulla disponibilità di sistemi indipendenti di misurazione e verifica dei dati;</w:t>
      </w:r>
    </w:p>
    <w:p w14:paraId="4FC7B56D" w14:textId="32FE1158" w:rsidR="006D61C9" w:rsidRPr="006400DE" w:rsidRDefault="00284800" w:rsidP="00D110C7">
      <w:pPr>
        <w:spacing w:before="0" w:after="120" w:line="300" w:lineRule="atLeast"/>
        <w:rPr>
          <w:rFonts w:ascii="Times New Roman" w:hAnsi="Times New Roman"/>
          <w:sz w:val="24"/>
          <w:szCs w:val="24"/>
        </w:rPr>
      </w:pPr>
      <w:r w:rsidRPr="006400DE">
        <w:rPr>
          <w:rFonts w:ascii="Times New Roman" w:hAnsi="Times New Roman"/>
          <w:sz w:val="24"/>
          <w:szCs w:val="24"/>
        </w:rPr>
        <w:t xml:space="preserve">l’articolo 3, paragrafo 15, della proposta integra nel GDPR la disciplina relativa ai </w:t>
      </w:r>
      <w:r w:rsidRPr="006400DE">
        <w:rPr>
          <w:rFonts w:ascii="Times New Roman" w:hAnsi="Times New Roman"/>
          <w:i/>
          <w:iCs/>
          <w:sz w:val="24"/>
          <w:szCs w:val="24"/>
        </w:rPr>
        <w:t>cookie</w:t>
      </w:r>
      <w:r w:rsidRPr="006400DE">
        <w:rPr>
          <w:rFonts w:ascii="Times New Roman" w:hAnsi="Times New Roman"/>
          <w:sz w:val="24"/>
          <w:szCs w:val="24"/>
        </w:rPr>
        <w:t xml:space="preserve"> con l’intento di modernizzare e razionalizzare le norme sul trattamento dei dati personali conservati nelle apparecchiature terminali. Tuttavia,</w:t>
      </w:r>
      <w:r w:rsidR="006D61C9" w:rsidRPr="006400DE">
        <w:rPr>
          <w:rFonts w:ascii="Times New Roman" w:hAnsi="Times New Roman"/>
          <w:sz w:val="24"/>
          <w:szCs w:val="24"/>
        </w:rPr>
        <w:t xml:space="preserve"> il mantenimento di due distinti regimi normativi, il GDPR e la direttiva</w:t>
      </w:r>
      <w:r w:rsidR="007A111D" w:rsidRPr="006400DE">
        <w:rPr>
          <w:rFonts w:ascii="Times New Roman" w:hAnsi="Times New Roman"/>
          <w:sz w:val="24"/>
          <w:szCs w:val="24"/>
        </w:rPr>
        <w:t xml:space="preserve"> (UE) 2022/2555 (direttiva</w:t>
      </w:r>
      <w:r w:rsidR="006D61C9" w:rsidRPr="006400DE">
        <w:rPr>
          <w:rFonts w:ascii="Times New Roman" w:hAnsi="Times New Roman"/>
          <w:sz w:val="24"/>
          <w:szCs w:val="24"/>
        </w:rPr>
        <w:t xml:space="preserve"> </w:t>
      </w:r>
      <w:proofErr w:type="spellStart"/>
      <w:r w:rsidR="006D61C9" w:rsidRPr="006400DE">
        <w:rPr>
          <w:rFonts w:ascii="Times New Roman" w:hAnsi="Times New Roman"/>
          <w:i/>
          <w:iCs/>
          <w:sz w:val="24"/>
          <w:szCs w:val="24"/>
        </w:rPr>
        <w:t>ePrivacy</w:t>
      </w:r>
      <w:proofErr w:type="spellEnd"/>
      <w:r w:rsidR="007A111D" w:rsidRPr="006400DE">
        <w:rPr>
          <w:rFonts w:ascii="Times New Roman" w:hAnsi="Times New Roman"/>
          <w:sz w:val="24"/>
          <w:szCs w:val="24"/>
        </w:rPr>
        <w:t>)</w:t>
      </w:r>
      <w:r w:rsidR="006D61C9" w:rsidRPr="006400DE">
        <w:rPr>
          <w:rFonts w:ascii="Times New Roman" w:hAnsi="Times New Roman"/>
          <w:sz w:val="24"/>
          <w:szCs w:val="24"/>
        </w:rPr>
        <w:t xml:space="preserve">, nonché di diversi meccanismi di </w:t>
      </w:r>
      <w:r w:rsidR="006D61C9" w:rsidRPr="006400DE">
        <w:rPr>
          <w:rFonts w:ascii="Times New Roman" w:hAnsi="Times New Roman"/>
          <w:i/>
          <w:iCs/>
          <w:sz w:val="24"/>
          <w:szCs w:val="24"/>
        </w:rPr>
        <w:t>enforcement</w:t>
      </w:r>
      <w:r w:rsidR="006D61C9" w:rsidRPr="006400DE">
        <w:rPr>
          <w:rFonts w:ascii="Times New Roman" w:hAnsi="Times New Roman"/>
          <w:sz w:val="24"/>
          <w:szCs w:val="24"/>
        </w:rPr>
        <w:t>, per i medesimi strumenti di tracciamento determina una stratificazione normativa non coerente con l’obiettivo di semplificazione del quadro regolatorio;</w:t>
      </w:r>
    </w:p>
    <w:p w14:paraId="2D00E9C2" w14:textId="27E1C75C" w:rsidR="00284800" w:rsidRPr="006400DE" w:rsidRDefault="00284800" w:rsidP="00D110C7">
      <w:pPr>
        <w:spacing w:before="0" w:after="120" w:line="300" w:lineRule="atLeast"/>
        <w:rPr>
          <w:rFonts w:ascii="Times New Roman" w:hAnsi="Times New Roman"/>
          <w:sz w:val="24"/>
          <w:szCs w:val="24"/>
        </w:rPr>
      </w:pPr>
      <w:r w:rsidRPr="006400DE">
        <w:rPr>
          <w:rFonts w:ascii="Times New Roman" w:hAnsi="Times New Roman"/>
          <w:sz w:val="24"/>
          <w:szCs w:val="24"/>
        </w:rPr>
        <w:t xml:space="preserve">le deroghe per la conservazione o l’accesso senza consenso a dati personali contenuti nell’apparecchiatura terminale, previste al paragrafo 3 del nuovo articolo 88 </w:t>
      </w:r>
      <w:r w:rsidRPr="006400DE">
        <w:rPr>
          <w:rFonts w:ascii="Times New Roman" w:hAnsi="Times New Roman"/>
          <w:i/>
          <w:iCs/>
          <w:sz w:val="24"/>
          <w:szCs w:val="24"/>
        </w:rPr>
        <w:t>bis</w:t>
      </w:r>
      <w:r w:rsidR="006D61C9" w:rsidRPr="006400DE">
        <w:rPr>
          <w:rFonts w:ascii="Times New Roman" w:hAnsi="Times New Roman"/>
          <w:sz w:val="24"/>
          <w:szCs w:val="24"/>
        </w:rPr>
        <w:t xml:space="preserve"> del GDPR,</w:t>
      </w:r>
      <w:r w:rsidRPr="006400DE">
        <w:rPr>
          <w:rFonts w:ascii="Times New Roman" w:hAnsi="Times New Roman"/>
          <w:sz w:val="24"/>
          <w:szCs w:val="24"/>
        </w:rPr>
        <w:t xml:space="preserve"> </w:t>
      </w:r>
      <w:r w:rsidR="006D61C9" w:rsidRPr="006400DE">
        <w:rPr>
          <w:rFonts w:ascii="Times New Roman" w:hAnsi="Times New Roman"/>
          <w:sz w:val="24"/>
          <w:szCs w:val="24"/>
        </w:rPr>
        <w:t xml:space="preserve">non </w:t>
      </w:r>
      <w:r w:rsidRPr="006400DE">
        <w:rPr>
          <w:rFonts w:ascii="Times New Roman" w:hAnsi="Times New Roman"/>
          <w:sz w:val="24"/>
          <w:szCs w:val="24"/>
        </w:rPr>
        <w:t>s</w:t>
      </w:r>
      <w:r w:rsidR="006D61C9" w:rsidRPr="006400DE">
        <w:rPr>
          <w:rFonts w:ascii="Times New Roman" w:hAnsi="Times New Roman"/>
          <w:sz w:val="24"/>
          <w:szCs w:val="24"/>
        </w:rPr>
        <w:t>ono</w:t>
      </w:r>
      <w:r w:rsidRPr="006400DE">
        <w:rPr>
          <w:rFonts w:ascii="Times New Roman" w:hAnsi="Times New Roman"/>
          <w:sz w:val="24"/>
          <w:szCs w:val="24"/>
        </w:rPr>
        <w:t xml:space="preserve"> </w:t>
      </w:r>
      <w:r w:rsidR="003C5772" w:rsidRPr="006400DE">
        <w:rPr>
          <w:rFonts w:ascii="Times New Roman" w:hAnsi="Times New Roman"/>
          <w:sz w:val="24"/>
          <w:szCs w:val="24"/>
        </w:rPr>
        <w:t>individuate in maniera</w:t>
      </w:r>
      <w:r w:rsidR="006D61C9" w:rsidRPr="006400DE">
        <w:rPr>
          <w:rFonts w:ascii="Times New Roman" w:hAnsi="Times New Roman"/>
          <w:sz w:val="24"/>
          <w:szCs w:val="24"/>
        </w:rPr>
        <w:t xml:space="preserve"> adeguatamente precisa, </w:t>
      </w:r>
      <w:r w:rsidR="003C5772" w:rsidRPr="006400DE">
        <w:rPr>
          <w:rFonts w:ascii="Times New Roman" w:hAnsi="Times New Roman"/>
          <w:sz w:val="24"/>
          <w:szCs w:val="24"/>
        </w:rPr>
        <w:t>determinando il rischio di interpretazioni discrezionali. S</w:t>
      </w:r>
      <w:r w:rsidRPr="006400DE">
        <w:rPr>
          <w:rFonts w:ascii="Times New Roman" w:hAnsi="Times New Roman"/>
          <w:sz w:val="24"/>
          <w:szCs w:val="24"/>
        </w:rPr>
        <w:t>arebbe</w:t>
      </w:r>
      <w:r w:rsidR="003C5772" w:rsidRPr="006400DE">
        <w:rPr>
          <w:rFonts w:ascii="Times New Roman" w:hAnsi="Times New Roman"/>
          <w:sz w:val="24"/>
          <w:szCs w:val="24"/>
        </w:rPr>
        <w:t xml:space="preserve"> </w:t>
      </w:r>
      <w:r w:rsidR="006D61C9" w:rsidRPr="006400DE">
        <w:rPr>
          <w:rFonts w:ascii="Times New Roman" w:hAnsi="Times New Roman"/>
          <w:sz w:val="24"/>
          <w:szCs w:val="24"/>
        </w:rPr>
        <w:t>pertanto</w:t>
      </w:r>
      <w:r w:rsidRPr="006400DE">
        <w:rPr>
          <w:rFonts w:ascii="Times New Roman" w:hAnsi="Times New Roman"/>
          <w:sz w:val="24"/>
          <w:szCs w:val="24"/>
        </w:rPr>
        <w:t xml:space="preserve"> necessario individuare</w:t>
      </w:r>
      <w:r w:rsidR="003C5772" w:rsidRPr="006400DE">
        <w:rPr>
          <w:rFonts w:ascii="Times New Roman" w:hAnsi="Times New Roman"/>
          <w:sz w:val="24"/>
          <w:szCs w:val="24"/>
        </w:rPr>
        <w:t xml:space="preserve"> le attività </w:t>
      </w:r>
      <w:r w:rsidR="003344F2" w:rsidRPr="006400DE">
        <w:rPr>
          <w:rFonts w:ascii="Times New Roman" w:hAnsi="Times New Roman"/>
          <w:sz w:val="24"/>
          <w:szCs w:val="24"/>
        </w:rPr>
        <w:t>esentate dalla raccolta del consenso</w:t>
      </w:r>
      <w:r w:rsidR="006D61C9" w:rsidRPr="006400DE">
        <w:rPr>
          <w:rFonts w:ascii="Times New Roman" w:hAnsi="Times New Roman"/>
          <w:sz w:val="24"/>
          <w:szCs w:val="24"/>
        </w:rPr>
        <w:t>,</w:t>
      </w:r>
      <w:r w:rsidR="003344F2" w:rsidRPr="006400DE">
        <w:rPr>
          <w:rFonts w:ascii="Times New Roman" w:hAnsi="Times New Roman"/>
          <w:sz w:val="24"/>
          <w:szCs w:val="24"/>
        </w:rPr>
        <w:t xml:space="preserve"> perché </w:t>
      </w:r>
      <w:r w:rsidR="003C5772" w:rsidRPr="006400DE">
        <w:rPr>
          <w:rFonts w:ascii="Times New Roman" w:hAnsi="Times New Roman"/>
          <w:sz w:val="24"/>
          <w:szCs w:val="24"/>
        </w:rPr>
        <w:t>considerate a basso rischio</w:t>
      </w:r>
      <w:r w:rsidR="006D61C9" w:rsidRPr="006400DE">
        <w:rPr>
          <w:rFonts w:ascii="Times New Roman" w:hAnsi="Times New Roman"/>
          <w:sz w:val="24"/>
          <w:szCs w:val="24"/>
        </w:rPr>
        <w:t>,</w:t>
      </w:r>
      <w:r w:rsidR="003C5772" w:rsidRPr="006400DE">
        <w:rPr>
          <w:rFonts w:ascii="Times New Roman" w:hAnsi="Times New Roman"/>
          <w:sz w:val="24"/>
          <w:szCs w:val="24"/>
        </w:rPr>
        <w:t xml:space="preserve"> mediante un elenco periodicamente aggiornato dalla Commissione europea in collaborazione con le autorità nazionali</w:t>
      </w:r>
      <w:r w:rsidRPr="006400DE">
        <w:rPr>
          <w:rFonts w:ascii="Times New Roman" w:hAnsi="Times New Roman"/>
          <w:sz w:val="24"/>
          <w:szCs w:val="24"/>
        </w:rPr>
        <w:t>;</w:t>
      </w:r>
    </w:p>
    <w:p w14:paraId="2011257D" w14:textId="77777777" w:rsidR="000C6BC5" w:rsidRPr="006400DE" w:rsidRDefault="001C5303" w:rsidP="000C6BC5">
      <w:pPr>
        <w:rPr>
          <w:rFonts w:ascii="Times New Roman" w:hAnsi="Times New Roman"/>
          <w:sz w:val="24"/>
          <w:szCs w:val="24"/>
        </w:rPr>
      </w:pPr>
      <w:r w:rsidRPr="006400DE">
        <w:rPr>
          <w:rFonts w:ascii="Times New Roman" w:hAnsi="Times New Roman"/>
          <w:sz w:val="24"/>
          <w:szCs w:val="24"/>
        </w:rPr>
        <w:t xml:space="preserve">il testo della proposta, nella versione originale, rischierebbe di compromettere l’effettiva applicazione delle disposizioni menzionate dall’EFMA. In particolare, </w:t>
      </w:r>
      <w:r w:rsidR="00CF1AE9" w:rsidRPr="006400DE">
        <w:rPr>
          <w:rFonts w:ascii="Times New Roman" w:hAnsi="Times New Roman"/>
          <w:sz w:val="24"/>
          <w:szCs w:val="24"/>
        </w:rPr>
        <w:t xml:space="preserve">la deroga prevista </w:t>
      </w:r>
      <w:r w:rsidR="006D61C9" w:rsidRPr="006400DE">
        <w:rPr>
          <w:rFonts w:ascii="Times New Roman" w:hAnsi="Times New Roman"/>
          <w:sz w:val="24"/>
          <w:szCs w:val="24"/>
        </w:rPr>
        <w:t xml:space="preserve">all’articolo 88 </w:t>
      </w:r>
      <w:r w:rsidR="006D61C9" w:rsidRPr="006400DE">
        <w:rPr>
          <w:rFonts w:ascii="Times New Roman" w:hAnsi="Times New Roman"/>
          <w:i/>
          <w:iCs/>
          <w:sz w:val="24"/>
          <w:szCs w:val="24"/>
        </w:rPr>
        <w:t>bis</w:t>
      </w:r>
      <w:r w:rsidR="006D61C9" w:rsidRPr="006400DE">
        <w:rPr>
          <w:rFonts w:ascii="Times New Roman" w:hAnsi="Times New Roman"/>
          <w:sz w:val="24"/>
          <w:szCs w:val="24"/>
        </w:rPr>
        <w:t xml:space="preserve">, paragrafo 3, lettera c), del GDPR, </w:t>
      </w:r>
      <w:r w:rsidR="008E5889" w:rsidRPr="006400DE">
        <w:rPr>
          <w:rFonts w:ascii="Times New Roman" w:hAnsi="Times New Roman"/>
          <w:sz w:val="24"/>
          <w:szCs w:val="24"/>
        </w:rPr>
        <w:t>così come formulata, circoscrive il perimetro dell’esenzione</w:t>
      </w:r>
      <w:r w:rsidR="006D61C9" w:rsidRPr="006400DE">
        <w:rPr>
          <w:rFonts w:ascii="Times New Roman" w:hAnsi="Times New Roman"/>
          <w:sz w:val="24"/>
          <w:szCs w:val="24"/>
        </w:rPr>
        <w:t xml:space="preserve"> dall'obbligo di consenso</w:t>
      </w:r>
      <w:r w:rsidR="008E5889" w:rsidRPr="006400DE">
        <w:rPr>
          <w:rFonts w:ascii="Times New Roman" w:hAnsi="Times New Roman"/>
          <w:sz w:val="24"/>
          <w:szCs w:val="24"/>
        </w:rPr>
        <w:t xml:space="preserve"> </w:t>
      </w:r>
      <w:r w:rsidR="00005454" w:rsidRPr="006400DE">
        <w:rPr>
          <w:rFonts w:ascii="Times New Roman" w:hAnsi="Times New Roman"/>
          <w:sz w:val="24"/>
          <w:szCs w:val="24"/>
        </w:rPr>
        <w:t xml:space="preserve">alle sole informazioni aggregate sull’utilizzo di un servizio </w:t>
      </w:r>
      <w:r w:rsidR="00005454" w:rsidRPr="006400DE">
        <w:rPr>
          <w:rFonts w:ascii="Times New Roman" w:hAnsi="Times New Roman"/>
          <w:i/>
          <w:iCs/>
          <w:sz w:val="24"/>
          <w:szCs w:val="24"/>
        </w:rPr>
        <w:t xml:space="preserve">online </w:t>
      </w:r>
      <w:r w:rsidR="00005454" w:rsidRPr="006400DE">
        <w:rPr>
          <w:rFonts w:ascii="Times New Roman" w:hAnsi="Times New Roman"/>
          <w:sz w:val="24"/>
          <w:szCs w:val="24"/>
        </w:rPr>
        <w:t>al fine di misurare l’</w:t>
      </w:r>
      <w:r w:rsidR="00005454" w:rsidRPr="006400DE">
        <w:rPr>
          <w:rFonts w:ascii="Times New Roman" w:hAnsi="Times New Roman"/>
          <w:i/>
          <w:iCs/>
          <w:sz w:val="24"/>
          <w:szCs w:val="24"/>
        </w:rPr>
        <w:t>audience</w:t>
      </w:r>
      <w:r w:rsidR="00005454" w:rsidRPr="006400DE">
        <w:rPr>
          <w:rFonts w:ascii="Times New Roman" w:hAnsi="Times New Roman"/>
          <w:sz w:val="24"/>
          <w:szCs w:val="24"/>
        </w:rPr>
        <w:t xml:space="preserve"> di tale servizio, qualora ciò sia effettuato dal titolare del trattamento di tale servizio </w:t>
      </w:r>
      <w:r w:rsidR="00005454" w:rsidRPr="006400DE">
        <w:rPr>
          <w:rFonts w:ascii="Times New Roman" w:hAnsi="Times New Roman"/>
          <w:i/>
          <w:iCs/>
          <w:sz w:val="24"/>
          <w:szCs w:val="24"/>
        </w:rPr>
        <w:t>online</w:t>
      </w:r>
      <w:r w:rsidR="00005454" w:rsidRPr="006400DE">
        <w:rPr>
          <w:rFonts w:ascii="Times New Roman" w:hAnsi="Times New Roman"/>
          <w:sz w:val="24"/>
          <w:szCs w:val="24"/>
        </w:rPr>
        <w:t xml:space="preserve"> esclusivamente per uso proprio;</w:t>
      </w:r>
    </w:p>
    <w:p w14:paraId="4C759A38" w14:textId="32F810D4" w:rsidR="00F4502A" w:rsidRPr="006400DE" w:rsidRDefault="000C6BC5" w:rsidP="000C6BC5">
      <w:pPr>
        <w:rPr>
          <w:rFonts w:ascii="Times New Roman" w:hAnsi="Times New Roman"/>
          <w:sz w:val="24"/>
          <w:szCs w:val="24"/>
        </w:rPr>
      </w:pPr>
      <w:r w:rsidRPr="006400DE">
        <w:rPr>
          <w:rFonts w:ascii="Times New Roman" w:hAnsi="Times New Roman"/>
          <w:sz w:val="24"/>
          <w:szCs w:val="24"/>
        </w:rPr>
        <w:t>t</w:t>
      </w:r>
      <w:r w:rsidR="00F4502A" w:rsidRPr="006400DE">
        <w:rPr>
          <w:rFonts w:ascii="Times New Roman" w:hAnsi="Times New Roman"/>
          <w:sz w:val="24"/>
          <w:szCs w:val="24"/>
        </w:rPr>
        <w:t>ale formulazione potrebbe porre seri ostacoli allo svolgimento dell’attività di misurazione dell’</w:t>
      </w:r>
      <w:r w:rsidR="00F4502A" w:rsidRPr="006400DE">
        <w:rPr>
          <w:rFonts w:ascii="Times New Roman" w:hAnsi="Times New Roman"/>
          <w:i/>
          <w:iCs/>
          <w:sz w:val="24"/>
          <w:szCs w:val="24"/>
        </w:rPr>
        <w:t>audience</w:t>
      </w:r>
      <w:r w:rsidR="00F4502A" w:rsidRPr="006400DE">
        <w:rPr>
          <w:rFonts w:ascii="Times New Roman" w:hAnsi="Times New Roman"/>
          <w:sz w:val="24"/>
          <w:szCs w:val="24"/>
        </w:rPr>
        <w:t xml:space="preserve"> da parte dei JIC impedendo il pieno dispiegarsi dei principi sanciti dall’EMFA; </w:t>
      </w:r>
    </w:p>
    <w:p w14:paraId="5F3D5535" w14:textId="638F36FC" w:rsidR="00C4050F" w:rsidRPr="006400DE" w:rsidRDefault="00C4050F" w:rsidP="00C4050F">
      <w:pPr>
        <w:rPr>
          <w:rFonts w:ascii="Times New Roman" w:hAnsi="Times New Roman"/>
          <w:sz w:val="24"/>
          <w:szCs w:val="24"/>
        </w:rPr>
      </w:pPr>
      <w:r w:rsidRPr="006400DE">
        <w:rPr>
          <w:rFonts w:ascii="Times New Roman" w:hAnsi="Times New Roman"/>
          <w:sz w:val="24"/>
          <w:szCs w:val="24"/>
        </w:rPr>
        <w:t xml:space="preserve">per tali ragioni, si accoglie positivamente la nuova formulazione introdotta nella versione di compromesso presentata dalla Presidenza cipriota il 10 giugno, nella quale la norma è stata trasposta nell’articolo 5, paragrafo 3, della direttiva </w:t>
      </w:r>
      <w:proofErr w:type="spellStart"/>
      <w:r w:rsidRPr="006400DE">
        <w:rPr>
          <w:rFonts w:ascii="Times New Roman" w:hAnsi="Times New Roman"/>
          <w:i/>
          <w:iCs/>
          <w:sz w:val="24"/>
          <w:szCs w:val="24"/>
        </w:rPr>
        <w:t>ePrivacy</w:t>
      </w:r>
      <w:proofErr w:type="spellEnd"/>
      <w:r w:rsidRPr="006400DE">
        <w:rPr>
          <w:rFonts w:ascii="Times New Roman" w:hAnsi="Times New Roman"/>
          <w:sz w:val="24"/>
          <w:szCs w:val="24"/>
        </w:rPr>
        <w:t xml:space="preserve"> con un esplicito riferimento alle “</w:t>
      </w:r>
      <w:proofErr w:type="spellStart"/>
      <w:r w:rsidRPr="006400DE">
        <w:rPr>
          <w:rFonts w:ascii="Times New Roman" w:hAnsi="Times New Roman"/>
          <w:i/>
          <w:iCs/>
          <w:sz w:val="24"/>
          <w:szCs w:val="24"/>
        </w:rPr>
        <w:t>entitled</w:t>
      </w:r>
      <w:proofErr w:type="spellEnd"/>
      <w:r w:rsidRPr="006400DE">
        <w:rPr>
          <w:rFonts w:ascii="Times New Roman" w:hAnsi="Times New Roman"/>
          <w:i/>
          <w:iCs/>
          <w:sz w:val="24"/>
          <w:szCs w:val="24"/>
        </w:rPr>
        <w:t xml:space="preserve"> and </w:t>
      </w:r>
      <w:proofErr w:type="spellStart"/>
      <w:r w:rsidRPr="006400DE">
        <w:rPr>
          <w:rFonts w:ascii="Times New Roman" w:hAnsi="Times New Roman"/>
          <w:i/>
          <w:iCs/>
          <w:sz w:val="24"/>
          <w:szCs w:val="24"/>
        </w:rPr>
        <w:t>independent</w:t>
      </w:r>
      <w:proofErr w:type="spellEnd"/>
      <w:r w:rsidRPr="006400DE">
        <w:rPr>
          <w:rFonts w:ascii="Times New Roman" w:hAnsi="Times New Roman"/>
          <w:i/>
          <w:iCs/>
          <w:sz w:val="24"/>
          <w:szCs w:val="24"/>
        </w:rPr>
        <w:t xml:space="preserve"> </w:t>
      </w:r>
      <w:proofErr w:type="spellStart"/>
      <w:r w:rsidRPr="006400DE">
        <w:rPr>
          <w:rFonts w:ascii="Times New Roman" w:hAnsi="Times New Roman"/>
          <w:i/>
          <w:iCs/>
          <w:sz w:val="24"/>
          <w:szCs w:val="24"/>
        </w:rPr>
        <w:t>third</w:t>
      </w:r>
      <w:proofErr w:type="spellEnd"/>
      <w:r w:rsidRPr="006400DE">
        <w:rPr>
          <w:rFonts w:ascii="Times New Roman" w:hAnsi="Times New Roman"/>
          <w:i/>
          <w:iCs/>
          <w:sz w:val="24"/>
          <w:szCs w:val="24"/>
        </w:rPr>
        <w:t xml:space="preserve"> parties</w:t>
      </w:r>
      <w:r w:rsidRPr="006400DE">
        <w:rPr>
          <w:rFonts w:ascii="Times New Roman" w:hAnsi="Times New Roman"/>
          <w:sz w:val="24"/>
          <w:szCs w:val="24"/>
        </w:rPr>
        <w:t xml:space="preserve">” e all’articolo 24 EMFA, nonché mediante la rimozione della dicitura </w:t>
      </w:r>
      <w:r w:rsidRPr="006400DE">
        <w:rPr>
          <w:rFonts w:ascii="Times New Roman" w:hAnsi="Times New Roman"/>
          <w:i/>
          <w:iCs/>
          <w:sz w:val="24"/>
          <w:szCs w:val="24"/>
        </w:rPr>
        <w:t>“</w:t>
      </w:r>
      <w:r w:rsidRPr="006400DE">
        <w:rPr>
          <w:rFonts w:ascii="Times New Roman" w:hAnsi="Times New Roman"/>
          <w:sz w:val="24"/>
          <w:szCs w:val="24"/>
        </w:rPr>
        <w:t>esclusivamente per uso proprio</w:t>
      </w:r>
      <w:r w:rsidRPr="006400DE">
        <w:rPr>
          <w:rFonts w:ascii="Times New Roman" w:hAnsi="Times New Roman"/>
          <w:i/>
          <w:iCs/>
          <w:sz w:val="24"/>
          <w:szCs w:val="24"/>
        </w:rPr>
        <w:t>”</w:t>
      </w:r>
      <w:r w:rsidRPr="006400DE">
        <w:rPr>
          <w:rFonts w:ascii="Times New Roman" w:hAnsi="Times New Roman"/>
          <w:sz w:val="24"/>
          <w:szCs w:val="24"/>
        </w:rPr>
        <w:t xml:space="preserve">, che limitava l’azione dei JIC e delle </w:t>
      </w:r>
      <w:r w:rsidRPr="006400DE">
        <w:rPr>
          <w:rFonts w:ascii="Times New Roman" w:hAnsi="Times New Roman"/>
          <w:i/>
          <w:iCs/>
          <w:sz w:val="24"/>
          <w:szCs w:val="24"/>
        </w:rPr>
        <w:t xml:space="preserve">market </w:t>
      </w:r>
      <w:proofErr w:type="spellStart"/>
      <w:r w:rsidRPr="006400DE">
        <w:rPr>
          <w:rFonts w:ascii="Times New Roman" w:hAnsi="Times New Roman"/>
          <w:i/>
          <w:iCs/>
          <w:sz w:val="24"/>
          <w:szCs w:val="24"/>
        </w:rPr>
        <w:t>research</w:t>
      </w:r>
      <w:proofErr w:type="spellEnd"/>
      <w:r w:rsidRPr="006400DE">
        <w:rPr>
          <w:rFonts w:ascii="Times New Roman" w:hAnsi="Times New Roman"/>
          <w:i/>
          <w:iCs/>
          <w:sz w:val="24"/>
          <w:szCs w:val="24"/>
        </w:rPr>
        <w:t xml:space="preserve"> company</w:t>
      </w:r>
      <w:r w:rsidRPr="006400DE">
        <w:rPr>
          <w:rFonts w:ascii="Times New Roman" w:hAnsi="Times New Roman"/>
          <w:sz w:val="24"/>
          <w:szCs w:val="24"/>
        </w:rPr>
        <w:t>;</w:t>
      </w:r>
    </w:p>
    <w:p w14:paraId="1258C04E" w14:textId="10BBD043" w:rsidR="000C6BC5" w:rsidRPr="006400DE" w:rsidRDefault="000C6BC5" w:rsidP="000C6BC5">
      <w:pPr>
        <w:spacing w:before="0" w:after="120" w:line="300" w:lineRule="atLeast"/>
        <w:rPr>
          <w:rFonts w:ascii="Times New Roman" w:hAnsi="Times New Roman"/>
          <w:sz w:val="24"/>
          <w:szCs w:val="24"/>
        </w:rPr>
      </w:pPr>
      <w:r w:rsidRPr="006400DE">
        <w:rPr>
          <w:rFonts w:ascii="Times New Roman" w:hAnsi="Times New Roman"/>
          <w:sz w:val="24"/>
          <w:szCs w:val="24"/>
        </w:rPr>
        <w:t xml:space="preserve">resta </w:t>
      </w:r>
      <w:r w:rsidR="002368B6" w:rsidRPr="006400DE">
        <w:rPr>
          <w:rFonts w:ascii="Times New Roman" w:hAnsi="Times New Roman"/>
          <w:sz w:val="24"/>
          <w:szCs w:val="24"/>
        </w:rPr>
        <w:t>tuttavia</w:t>
      </w:r>
      <w:r w:rsidRPr="006400DE">
        <w:rPr>
          <w:rFonts w:ascii="Times New Roman" w:hAnsi="Times New Roman"/>
          <w:sz w:val="24"/>
          <w:szCs w:val="24"/>
        </w:rPr>
        <w:t xml:space="preserve"> ferma l’esigenza di una più esplicita esenzione per </w:t>
      </w:r>
      <w:r w:rsidRPr="006400DE">
        <w:rPr>
          <w:rFonts w:ascii="Times New Roman" w:hAnsi="Times New Roman"/>
          <w:i/>
          <w:iCs/>
          <w:sz w:val="24"/>
          <w:szCs w:val="24"/>
        </w:rPr>
        <w:t xml:space="preserve">l’audience </w:t>
      </w:r>
      <w:proofErr w:type="spellStart"/>
      <w:r w:rsidRPr="006400DE">
        <w:rPr>
          <w:rFonts w:ascii="Times New Roman" w:hAnsi="Times New Roman"/>
          <w:i/>
          <w:iCs/>
          <w:sz w:val="24"/>
          <w:szCs w:val="24"/>
        </w:rPr>
        <w:t>measurement</w:t>
      </w:r>
      <w:proofErr w:type="spellEnd"/>
      <w:r w:rsidRPr="006400DE">
        <w:rPr>
          <w:rFonts w:ascii="Times New Roman" w:hAnsi="Times New Roman"/>
          <w:sz w:val="24"/>
          <w:szCs w:val="24"/>
        </w:rPr>
        <w:t xml:space="preserve">, in linea con l’articolo 24 EMFA, nel rispetto delle migliori pratiche utilizzate nella misurazione degli ascolti condotte da soggetti terzi indipendenti che </w:t>
      </w:r>
      <w:proofErr w:type="spellStart"/>
      <w:r w:rsidRPr="006400DE">
        <w:rPr>
          <w:rFonts w:ascii="Times New Roman" w:hAnsi="Times New Roman"/>
          <w:sz w:val="24"/>
          <w:szCs w:val="24"/>
        </w:rPr>
        <w:t>agiscono</w:t>
      </w:r>
      <w:proofErr w:type="spellEnd"/>
      <w:r w:rsidRPr="006400DE">
        <w:rPr>
          <w:rFonts w:ascii="Times New Roman" w:hAnsi="Times New Roman"/>
          <w:sz w:val="24"/>
          <w:szCs w:val="24"/>
        </w:rPr>
        <w:t xml:space="preserve"> per conto del settore dei media, e con la definizione contenuta nell’articolo 2, punto 16, del medesimo regolamento, al fine di salvaguardare le metodologie consolidate del settore, insieme ad una maggiore chiarezza in relazione alla responsabilità dei JIC in qualità di “</w:t>
      </w:r>
      <w:r w:rsidRPr="006400DE">
        <w:rPr>
          <w:rFonts w:ascii="Times New Roman" w:hAnsi="Times New Roman"/>
          <w:i/>
          <w:iCs/>
          <w:sz w:val="24"/>
          <w:szCs w:val="24"/>
        </w:rPr>
        <w:t>controller</w:t>
      </w:r>
      <w:r w:rsidRPr="006400DE">
        <w:rPr>
          <w:rFonts w:ascii="Times New Roman" w:hAnsi="Times New Roman"/>
          <w:sz w:val="24"/>
          <w:szCs w:val="24"/>
        </w:rPr>
        <w:t>” dei dati;</w:t>
      </w:r>
    </w:p>
    <w:p w14:paraId="31F5BE89" w14:textId="22958A0D" w:rsidR="000C6BC5" w:rsidRPr="006400DE" w:rsidRDefault="000C6BC5" w:rsidP="000C6BC5">
      <w:pPr>
        <w:spacing w:before="0" w:after="120" w:line="300" w:lineRule="atLeast"/>
        <w:rPr>
          <w:rFonts w:ascii="Times New Roman" w:hAnsi="Times New Roman"/>
          <w:sz w:val="24"/>
          <w:szCs w:val="24"/>
        </w:rPr>
      </w:pPr>
      <w:r w:rsidRPr="006400DE">
        <w:rPr>
          <w:rFonts w:ascii="Times New Roman" w:hAnsi="Times New Roman"/>
          <w:sz w:val="24"/>
          <w:szCs w:val="24"/>
        </w:rPr>
        <w:t xml:space="preserve">al contempo, appare necessario allineare la nuova formulazione proposta per l’articolo 5, paragrafo 3, lettera c), della direttiva </w:t>
      </w:r>
      <w:proofErr w:type="spellStart"/>
      <w:r w:rsidRPr="006400DE">
        <w:rPr>
          <w:rFonts w:ascii="Times New Roman" w:hAnsi="Times New Roman"/>
          <w:i/>
          <w:iCs/>
          <w:sz w:val="24"/>
          <w:szCs w:val="24"/>
        </w:rPr>
        <w:t>ePrivacy</w:t>
      </w:r>
      <w:proofErr w:type="spellEnd"/>
      <w:r w:rsidRPr="006400DE">
        <w:rPr>
          <w:rFonts w:ascii="Times New Roman" w:hAnsi="Times New Roman"/>
          <w:sz w:val="24"/>
          <w:szCs w:val="24"/>
        </w:rPr>
        <w:t xml:space="preserve"> con quella del considerando 44b proposto nel testo di compromesso del 10 giugno, eliminando anche le restrizioni tecniche in contrasto con le metodologie di misurazione concordate dal mercato;</w:t>
      </w:r>
    </w:p>
    <w:p w14:paraId="07E8A54C" w14:textId="2F6EF1B2" w:rsidR="008E5889" w:rsidRPr="006400DE" w:rsidRDefault="00064215" w:rsidP="00D110C7">
      <w:pPr>
        <w:spacing w:before="0" w:after="120" w:line="300" w:lineRule="atLeast"/>
        <w:rPr>
          <w:rFonts w:ascii="Times New Roman" w:hAnsi="Times New Roman"/>
          <w:sz w:val="24"/>
          <w:szCs w:val="24"/>
        </w:rPr>
      </w:pPr>
      <w:r w:rsidRPr="006400DE">
        <w:rPr>
          <w:rFonts w:ascii="Times New Roman" w:hAnsi="Times New Roman"/>
          <w:sz w:val="24"/>
          <w:szCs w:val="24"/>
        </w:rPr>
        <w:t xml:space="preserve">si rileva comunque l’importanza di </w:t>
      </w:r>
      <w:r w:rsidR="00D87A47" w:rsidRPr="006400DE">
        <w:rPr>
          <w:rFonts w:ascii="Times New Roman" w:hAnsi="Times New Roman"/>
          <w:sz w:val="24"/>
          <w:szCs w:val="24"/>
        </w:rPr>
        <w:t>raggiungere un equilibrio avanzato tra l’esigenza di</w:t>
      </w:r>
      <w:r w:rsidR="00C421E6" w:rsidRPr="006400DE">
        <w:rPr>
          <w:rFonts w:ascii="Times New Roman" w:hAnsi="Times New Roman"/>
          <w:sz w:val="24"/>
          <w:szCs w:val="24"/>
        </w:rPr>
        <w:t xml:space="preserve"> tutelare la </w:t>
      </w:r>
      <w:r w:rsidR="00C421E6" w:rsidRPr="006400DE">
        <w:rPr>
          <w:rFonts w:ascii="Times New Roman" w:hAnsi="Times New Roman"/>
          <w:i/>
          <w:iCs/>
          <w:sz w:val="24"/>
          <w:szCs w:val="24"/>
        </w:rPr>
        <w:t>privacy</w:t>
      </w:r>
      <w:r w:rsidR="00C421E6" w:rsidRPr="006400DE">
        <w:rPr>
          <w:rFonts w:ascii="Times New Roman" w:hAnsi="Times New Roman"/>
          <w:sz w:val="24"/>
          <w:szCs w:val="24"/>
        </w:rPr>
        <w:t xml:space="preserve"> degli utenti e la necessità di garantire </w:t>
      </w:r>
      <w:r w:rsidR="00E851EA" w:rsidRPr="006400DE">
        <w:rPr>
          <w:rFonts w:ascii="Times New Roman" w:hAnsi="Times New Roman"/>
          <w:sz w:val="24"/>
          <w:szCs w:val="24"/>
        </w:rPr>
        <w:t>che il mercato digitale europeo operi in condizioni di trasparenza e verificabilità dei dati</w:t>
      </w:r>
      <w:r w:rsidRPr="006400DE">
        <w:rPr>
          <w:rFonts w:ascii="Times New Roman" w:hAnsi="Times New Roman"/>
          <w:sz w:val="24"/>
          <w:szCs w:val="24"/>
        </w:rPr>
        <w:t>;</w:t>
      </w:r>
    </w:p>
    <w:p w14:paraId="75C67288" w14:textId="535E8E0A" w:rsidR="00994BBF" w:rsidRPr="006400DE" w:rsidRDefault="00EC3D49"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 xml:space="preserve">nonostante si condivida </w:t>
      </w:r>
      <w:r w:rsidR="00064215" w:rsidRPr="006400DE">
        <w:rPr>
          <w:rFonts w:ascii="Times New Roman" w:eastAsia="Arial" w:hAnsi="Times New Roman"/>
          <w:sz w:val="24"/>
          <w:szCs w:val="24"/>
        </w:rPr>
        <w:t>l’intento di</w:t>
      </w:r>
      <w:r w:rsidRPr="006400DE">
        <w:rPr>
          <w:rFonts w:ascii="Times New Roman" w:eastAsia="Arial" w:hAnsi="Times New Roman"/>
          <w:sz w:val="24"/>
          <w:szCs w:val="24"/>
        </w:rPr>
        <w:t xml:space="preserve"> semplificare il processo di acquisizione del consenso, l</w:t>
      </w:r>
      <w:r w:rsidR="007D6A19" w:rsidRPr="006400DE">
        <w:rPr>
          <w:rFonts w:ascii="Times New Roman" w:eastAsia="Arial" w:hAnsi="Times New Roman"/>
          <w:sz w:val="24"/>
          <w:szCs w:val="24"/>
        </w:rPr>
        <w:t xml:space="preserve">e previsioni del nuovo articolo 88 </w:t>
      </w:r>
      <w:r w:rsidR="007D6A19" w:rsidRPr="006400DE">
        <w:rPr>
          <w:rFonts w:ascii="Times New Roman" w:eastAsia="Arial" w:hAnsi="Times New Roman"/>
          <w:i/>
          <w:iCs/>
          <w:sz w:val="24"/>
          <w:szCs w:val="24"/>
        </w:rPr>
        <w:t>bis</w:t>
      </w:r>
      <w:r w:rsidR="007D6A19" w:rsidRPr="006400DE">
        <w:rPr>
          <w:rFonts w:ascii="Times New Roman" w:eastAsia="Arial" w:hAnsi="Times New Roman"/>
          <w:sz w:val="24"/>
          <w:szCs w:val="24"/>
        </w:rPr>
        <w:t>, paragrafo 4, che stabiliscono la facoltà</w:t>
      </w:r>
      <w:r w:rsidR="00994BBF" w:rsidRPr="006400DE">
        <w:rPr>
          <w:rFonts w:ascii="Times New Roman" w:eastAsia="Arial" w:hAnsi="Times New Roman"/>
          <w:sz w:val="24"/>
          <w:szCs w:val="24"/>
        </w:rPr>
        <w:t xml:space="preserve"> </w:t>
      </w:r>
      <w:r w:rsidR="007D6A19" w:rsidRPr="006400DE">
        <w:rPr>
          <w:rFonts w:ascii="Times New Roman" w:eastAsia="Arial" w:hAnsi="Times New Roman"/>
          <w:sz w:val="24"/>
          <w:szCs w:val="24"/>
        </w:rPr>
        <w:t>del</w:t>
      </w:r>
      <w:r w:rsidR="00994BBF" w:rsidRPr="006400DE">
        <w:rPr>
          <w:rFonts w:ascii="Times New Roman" w:eastAsia="Arial" w:hAnsi="Times New Roman"/>
          <w:sz w:val="24"/>
          <w:szCs w:val="24"/>
        </w:rPr>
        <w:t xml:space="preserve">l’interessato di respingere le richieste di consenso con un solo </w:t>
      </w:r>
      <w:r w:rsidR="00994BBF" w:rsidRPr="006400DE">
        <w:rPr>
          <w:rFonts w:ascii="Times New Roman" w:eastAsia="Arial" w:hAnsi="Times New Roman"/>
          <w:i/>
          <w:iCs/>
          <w:sz w:val="24"/>
          <w:szCs w:val="24"/>
        </w:rPr>
        <w:t>click</w:t>
      </w:r>
      <w:r w:rsidR="00994BBF" w:rsidRPr="006400DE">
        <w:rPr>
          <w:rFonts w:ascii="Times New Roman" w:eastAsia="Arial" w:hAnsi="Times New Roman"/>
          <w:sz w:val="24"/>
          <w:szCs w:val="24"/>
        </w:rPr>
        <w:t xml:space="preserve"> e l’obbligo per il titolare del trattamento di non presentare una nuova richiesta</w:t>
      </w:r>
      <w:r w:rsidR="00960599" w:rsidRPr="006400DE">
        <w:rPr>
          <w:rFonts w:ascii="Times New Roman" w:eastAsia="Arial" w:hAnsi="Times New Roman"/>
          <w:sz w:val="24"/>
          <w:szCs w:val="24"/>
        </w:rPr>
        <w:t xml:space="preserve"> </w:t>
      </w:r>
      <w:r w:rsidR="00994BBF" w:rsidRPr="006400DE">
        <w:rPr>
          <w:rFonts w:ascii="Times New Roman" w:eastAsia="Arial" w:hAnsi="Times New Roman"/>
          <w:sz w:val="24"/>
          <w:szCs w:val="24"/>
        </w:rPr>
        <w:t>per la stessa finalità per il periodo durante il quale può legittimamente avvalersi del consenso, nonché</w:t>
      </w:r>
      <w:r w:rsidR="007D6A19" w:rsidRPr="006400DE">
        <w:rPr>
          <w:rFonts w:ascii="Times New Roman" w:eastAsia="Arial" w:hAnsi="Times New Roman"/>
          <w:sz w:val="24"/>
          <w:szCs w:val="24"/>
        </w:rPr>
        <w:t>,</w:t>
      </w:r>
      <w:r w:rsidR="00994BBF" w:rsidRPr="006400DE">
        <w:rPr>
          <w:rFonts w:ascii="Times New Roman" w:eastAsia="Arial" w:hAnsi="Times New Roman"/>
          <w:sz w:val="24"/>
          <w:szCs w:val="24"/>
        </w:rPr>
        <w:t xml:space="preserve"> qualora l’interessato </w:t>
      </w:r>
      <w:r w:rsidR="00064215" w:rsidRPr="006400DE">
        <w:rPr>
          <w:rFonts w:ascii="Times New Roman" w:eastAsia="Arial" w:hAnsi="Times New Roman"/>
          <w:sz w:val="24"/>
          <w:szCs w:val="24"/>
        </w:rPr>
        <w:t xml:space="preserve">abbia in precedenza </w:t>
      </w:r>
      <w:r w:rsidR="00994BBF" w:rsidRPr="006400DE">
        <w:rPr>
          <w:rFonts w:ascii="Times New Roman" w:eastAsia="Arial" w:hAnsi="Times New Roman"/>
          <w:sz w:val="24"/>
          <w:szCs w:val="24"/>
        </w:rPr>
        <w:t>rifiut</w:t>
      </w:r>
      <w:r w:rsidR="00064215" w:rsidRPr="006400DE">
        <w:rPr>
          <w:rFonts w:ascii="Times New Roman" w:eastAsia="Arial" w:hAnsi="Times New Roman"/>
          <w:sz w:val="24"/>
          <w:szCs w:val="24"/>
        </w:rPr>
        <w:t>ato</w:t>
      </w:r>
      <w:r w:rsidR="007D6A19" w:rsidRPr="006400DE">
        <w:rPr>
          <w:rFonts w:ascii="Times New Roman" w:eastAsia="Arial" w:hAnsi="Times New Roman"/>
          <w:sz w:val="24"/>
          <w:szCs w:val="24"/>
        </w:rPr>
        <w:t>,</w:t>
      </w:r>
      <w:r w:rsidR="00994BBF" w:rsidRPr="006400DE">
        <w:rPr>
          <w:rFonts w:ascii="Times New Roman" w:eastAsia="Arial" w:hAnsi="Times New Roman"/>
          <w:sz w:val="24"/>
          <w:szCs w:val="24"/>
        </w:rPr>
        <w:t xml:space="preserve"> </w:t>
      </w:r>
      <w:r w:rsidR="00960599" w:rsidRPr="006400DE">
        <w:rPr>
          <w:rFonts w:ascii="Times New Roman" w:eastAsia="Arial" w:hAnsi="Times New Roman"/>
          <w:sz w:val="24"/>
          <w:szCs w:val="24"/>
        </w:rPr>
        <w:t>per un periodo di 6 mesi</w:t>
      </w:r>
      <w:r w:rsidR="00994BBF" w:rsidRPr="006400DE">
        <w:rPr>
          <w:rFonts w:ascii="Times New Roman" w:eastAsia="Arial" w:hAnsi="Times New Roman"/>
          <w:sz w:val="24"/>
          <w:szCs w:val="24"/>
        </w:rPr>
        <w:t xml:space="preserve">, </w:t>
      </w:r>
      <w:r w:rsidR="007D6A19" w:rsidRPr="006400DE">
        <w:rPr>
          <w:rFonts w:ascii="Times New Roman" w:eastAsia="Arial" w:hAnsi="Times New Roman"/>
          <w:sz w:val="24"/>
          <w:szCs w:val="24"/>
        </w:rPr>
        <w:t xml:space="preserve">appaiono di difficile applicazione operativa </w:t>
      </w:r>
      <w:r w:rsidRPr="006400DE">
        <w:rPr>
          <w:rFonts w:ascii="Times New Roman" w:eastAsia="Arial" w:hAnsi="Times New Roman"/>
          <w:sz w:val="24"/>
          <w:szCs w:val="24"/>
        </w:rPr>
        <w:t>considerati</w:t>
      </w:r>
      <w:r w:rsidR="007D6A19" w:rsidRPr="006400DE">
        <w:rPr>
          <w:rFonts w:ascii="Times New Roman" w:eastAsia="Arial" w:hAnsi="Times New Roman"/>
          <w:sz w:val="24"/>
          <w:szCs w:val="24"/>
        </w:rPr>
        <w:t xml:space="preserve"> i contesti tecnici differenti in cui dovrebbero inserirsi</w:t>
      </w:r>
      <w:r w:rsidRPr="006400DE">
        <w:rPr>
          <w:rFonts w:ascii="Times New Roman" w:eastAsia="Arial" w:hAnsi="Times New Roman"/>
          <w:sz w:val="24"/>
          <w:szCs w:val="24"/>
        </w:rPr>
        <w:t xml:space="preserve">. </w:t>
      </w:r>
      <w:r w:rsidR="00064215" w:rsidRPr="006400DE">
        <w:rPr>
          <w:rFonts w:ascii="Times New Roman" w:eastAsia="Arial" w:hAnsi="Times New Roman"/>
          <w:sz w:val="24"/>
          <w:szCs w:val="24"/>
        </w:rPr>
        <w:t xml:space="preserve">In aggiunta, </w:t>
      </w:r>
      <w:r w:rsidRPr="006400DE">
        <w:rPr>
          <w:rFonts w:ascii="Times New Roman" w:eastAsia="Arial" w:hAnsi="Times New Roman"/>
          <w:sz w:val="24"/>
          <w:szCs w:val="24"/>
        </w:rPr>
        <w:t>potrebbe</w:t>
      </w:r>
      <w:r w:rsidR="00064215" w:rsidRPr="006400DE">
        <w:rPr>
          <w:rFonts w:ascii="Times New Roman" w:eastAsia="Arial" w:hAnsi="Times New Roman"/>
          <w:sz w:val="24"/>
          <w:szCs w:val="24"/>
        </w:rPr>
        <w:t xml:space="preserve">ro determinare un aumento </w:t>
      </w:r>
      <w:r w:rsidRPr="006400DE">
        <w:rPr>
          <w:rFonts w:ascii="Times New Roman" w:eastAsia="Arial" w:hAnsi="Times New Roman"/>
          <w:sz w:val="24"/>
          <w:szCs w:val="24"/>
        </w:rPr>
        <w:t xml:space="preserve">rilevante </w:t>
      </w:r>
      <w:r w:rsidR="00064215" w:rsidRPr="006400DE">
        <w:rPr>
          <w:rFonts w:ascii="Times New Roman" w:eastAsia="Arial" w:hAnsi="Times New Roman"/>
          <w:sz w:val="24"/>
          <w:szCs w:val="24"/>
        </w:rPr>
        <w:t>de</w:t>
      </w:r>
      <w:r w:rsidRPr="006400DE">
        <w:rPr>
          <w:rFonts w:ascii="Times New Roman" w:eastAsia="Arial" w:hAnsi="Times New Roman"/>
          <w:sz w:val="24"/>
          <w:szCs w:val="24"/>
        </w:rPr>
        <w:t>gli oneri a carico delle imprese e limitare la loro possibilità di dialogo con l’utenza</w:t>
      </w:r>
      <w:r w:rsidR="007D6A19" w:rsidRPr="006400DE">
        <w:rPr>
          <w:rFonts w:ascii="Times New Roman" w:eastAsia="Arial" w:hAnsi="Times New Roman"/>
          <w:sz w:val="24"/>
          <w:szCs w:val="24"/>
        </w:rPr>
        <w:t>;</w:t>
      </w:r>
    </w:p>
    <w:p w14:paraId="36E18493" w14:textId="4A08EFDE" w:rsidR="00ED0FE5" w:rsidRPr="006400DE" w:rsidRDefault="00F8073E"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 xml:space="preserve">analogamente, non appaiono tecnicamente praticabili </w:t>
      </w:r>
      <w:r w:rsidR="00C25079" w:rsidRPr="006400DE">
        <w:rPr>
          <w:rFonts w:ascii="Times New Roman" w:eastAsia="Arial" w:hAnsi="Times New Roman"/>
          <w:sz w:val="24"/>
          <w:szCs w:val="24"/>
        </w:rPr>
        <w:t xml:space="preserve">in contesti </w:t>
      </w:r>
      <w:r w:rsidR="00C25079" w:rsidRPr="006400DE">
        <w:rPr>
          <w:rFonts w:ascii="Times New Roman" w:eastAsia="Arial" w:hAnsi="Times New Roman"/>
          <w:i/>
          <w:iCs/>
          <w:sz w:val="24"/>
          <w:szCs w:val="24"/>
        </w:rPr>
        <w:t>online</w:t>
      </w:r>
      <w:r w:rsidR="00C25079" w:rsidRPr="006400DE">
        <w:rPr>
          <w:rFonts w:ascii="Times New Roman" w:eastAsia="Arial" w:hAnsi="Times New Roman"/>
          <w:sz w:val="24"/>
          <w:szCs w:val="24"/>
        </w:rPr>
        <w:t xml:space="preserve"> eterogenei</w:t>
      </w:r>
      <w:r w:rsidR="00DC0931" w:rsidRPr="006400DE">
        <w:rPr>
          <w:rFonts w:ascii="Times New Roman" w:eastAsia="Arial" w:hAnsi="Times New Roman"/>
          <w:sz w:val="24"/>
          <w:szCs w:val="24"/>
        </w:rPr>
        <w:t>,</w:t>
      </w:r>
      <w:r w:rsidR="002B53FB" w:rsidRPr="006400DE">
        <w:rPr>
          <w:rFonts w:ascii="Times New Roman" w:eastAsia="Arial" w:hAnsi="Times New Roman"/>
          <w:sz w:val="24"/>
          <w:szCs w:val="24"/>
        </w:rPr>
        <w:t xml:space="preserve"> che generano scenari di consenso</w:t>
      </w:r>
      <w:r w:rsidR="00553C9C" w:rsidRPr="006400DE">
        <w:rPr>
          <w:rFonts w:ascii="Times New Roman" w:eastAsia="Arial" w:hAnsi="Times New Roman"/>
          <w:sz w:val="24"/>
          <w:szCs w:val="24"/>
        </w:rPr>
        <w:t xml:space="preserve"> differenziati</w:t>
      </w:r>
      <w:r w:rsidR="002B53FB" w:rsidRPr="006400DE">
        <w:rPr>
          <w:rFonts w:ascii="Times New Roman" w:eastAsia="Arial" w:hAnsi="Times New Roman"/>
          <w:sz w:val="24"/>
          <w:szCs w:val="24"/>
        </w:rPr>
        <w:t xml:space="preserve">, </w:t>
      </w:r>
      <w:r w:rsidRPr="006400DE">
        <w:rPr>
          <w:rFonts w:ascii="Times New Roman" w:eastAsia="Arial" w:hAnsi="Times New Roman"/>
          <w:sz w:val="24"/>
          <w:szCs w:val="24"/>
        </w:rPr>
        <w:t xml:space="preserve">le disposizioni del nuovo articolo 88 </w:t>
      </w:r>
      <w:r w:rsidRPr="006400DE">
        <w:rPr>
          <w:rFonts w:ascii="Times New Roman" w:eastAsia="Arial" w:hAnsi="Times New Roman"/>
          <w:i/>
          <w:iCs/>
          <w:sz w:val="24"/>
          <w:szCs w:val="24"/>
        </w:rPr>
        <w:t>ter</w:t>
      </w:r>
      <w:r w:rsidRPr="006400DE">
        <w:rPr>
          <w:rFonts w:ascii="Times New Roman" w:eastAsia="Arial" w:hAnsi="Times New Roman"/>
          <w:sz w:val="24"/>
          <w:szCs w:val="24"/>
        </w:rPr>
        <w:t>, secondo cui gli interessati dovrebbero poter ricorrere a indicazioni automatizzate e leggibili da dispositivo automatico della loro scelta di accettare o rifiutare una richiesta di consenso o di opporsi al trattamento dei dati</w:t>
      </w:r>
      <w:r w:rsidR="00E67CC9" w:rsidRPr="006400DE">
        <w:rPr>
          <w:rFonts w:ascii="Times New Roman" w:eastAsia="Arial" w:hAnsi="Times New Roman"/>
          <w:sz w:val="24"/>
          <w:szCs w:val="24"/>
        </w:rPr>
        <w:t>.</w:t>
      </w:r>
      <w:r w:rsidR="00ED0FE5" w:rsidRPr="006400DE">
        <w:rPr>
          <w:rFonts w:ascii="Times New Roman" w:eastAsia="Arial" w:hAnsi="Times New Roman"/>
          <w:sz w:val="24"/>
          <w:szCs w:val="24"/>
        </w:rPr>
        <w:t xml:space="preserve"> </w:t>
      </w:r>
      <w:r w:rsidR="00C25079" w:rsidRPr="006400DE">
        <w:rPr>
          <w:rFonts w:ascii="Times New Roman" w:eastAsia="Arial" w:hAnsi="Times New Roman"/>
          <w:sz w:val="24"/>
          <w:szCs w:val="24"/>
        </w:rPr>
        <w:t xml:space="preserve">Inoltre, meccanismi centralizzati di gestione del consenso a livello di </w:t>
      </w:r>
      <w:r w:rsidR="00C25079" w:rsidRPr="006400DE">
        <w:rPr>
          <w:rFonts w:ascii="Times New Roman" w:eastAsia="Arial" w:hAnsi="Times New Roman"/>
          <w:i/>
          <w:iCs/>
          <w:sz w:val="24"/>
          <w:szCs w:val="24"/>
        </w:rPr>
        <w:t>browser</w:t>
      </w:r>
      <w:r w:rsidR="00C25079" w:rsidRPr="006400DE">
        <w:rPr>
          <w:rFonts w:ascii="Times New Roman" w:eastAsia="Arial" w:hAnsi="Times New Roman"/>
          <w:sz w:val="24"/>
          <w:szCs w:val="24"/>
        </w:rPr>
        <w:t xml:space="preserve"> potrebbero sollevare dubbi di coerenza rispetto la necessità di garantire che il consenso s</w:t>
      </w:r>
      <w:r w:rsidR="002B53FB" w:rsidRPr="006400DE">
        <w:rPr>
          <w:rFonts w:ascii="Times New Roman" w:eastAsia="Arial" w:hAnsi="Times New Roman"/>
          <w:sz w:val="24"/>
          <w:szCs w:val="24"/>
        </w:rPr>
        <w:t xml:space="preserve">oddisfi i requisiti del </w:t>
      </w:r>
      <w:r w:rsidR="00C25079" w:rsidRPr="006400DE">
        <w:rPr>
          <w:rFonts w:ascii="Times New Roman" w:eastAsia="Arial" w:hAnsi="Times New Roman"/>
          <w:sz w:val="24"/>
          <w:szCs w:val="24"/>
        </w:rPr>
        <w:t>GDPR,</w:t>
      </w:r>
      <w:r w:rsidR="002B53FB" w:rsidRPr="006400DE">
        <w:rPr>
          <w:rFonts w:ascii="Times New Roman" w:eastAsia="Arial" w:hAnsi="Times New Roman"/>
          <w:sz w:val="24"/>
          <w:szCs w:val="24"/>
        </w:rPr>
        <w:t xml:space="preserve"> in quanto all’adeguata informazione dell’interessato circa, tra gli altri, l’identità del titolare del trattamento, le finalità del trattamento e i tempi di conservazione</w:t>
      </w:r>
      <w:r w:rsidR="00ED0FE5" w:rsidRPr="006400DE">
        <w:rPr>
          <w:rFonts w:ascii="Times New Roman" w:eastAsia="Arial" w:hAnsi="Times New Roman"/>
          <w:sz w:val="24"/>
          <w:szCs w:val="24"/>
        </w:rPr>
        <w:t>.</w:t>
      </w:r>
      <w:r w:rsidR="002B53FB" w:rsidRPr="006400DE">
        <w:rPr>
          <w:rFonts w:ascii="Times New Roman" w:eastAsia="Arial" w:hAnsi="Times New Roman"/>
          <w:sz w:val="24"/>
          <w:szCs w:val="24"/>
        </w:rPr>
        <w:t xml:space="preserve"> Infine, un sistema di gestione del consenso come quello prospettato potrebbe</w:t>
      </w:r>
      <w:r w:rsidR="00ED0FE5" w:rsidRPr="006400DE">
        <w:rPr>
          <w:rFonts w:ascii="Times New Roman" w:eastAsia="Arial" w:hAnsi="Times New Roman"/>
          <w:sz w:val="24"/>
          <w:szCs w:val="24"/>
        </w:rPr>
        <w:t>:</w:t>
      </w:r>
    </w:p>
    <w:p w14:paraId="05190DFC" w14:textId="59691D35" w:rsidR="00ED0FE5" w:rsidRPr="006400DE" w:rsidRDefault="002B53FB" w:rsidP="00D110C7">
      <w:pPr>
        <w:pStyle w:val="Paragrafoelenco"/>
        <w:numPr>
          <w:ilvl w:val="0"/>
          <w:numId w:val="5"/>
        </w:numPr>
        <w:spacing w:before="0" w:after="120" w:line="300" w:lineRule="atLeast"/>
        <w:contextualSpacing w:val="0"/>
        <w:rPr>
          <w:rFonts w:ascii="Times New Roman" w:eastAsia="Arial" w:hAnsi="Times New Roman"/>
          <w:sz w:val="24"/>
          <w:szCs w:val="24"/>
        </w:rPr>
      </w:pPr>
      <w:r w:rsidRPr="006400DE">
        <w:rPr>
          <w:rFonts w:ascii="Times New Roman" w:eastAsia="Arial" w:hAnsi="Times New Roman"/>
          <w:sz w:val="24"/>
          <w:szCs w:val="24"/>
        </w:rPr>
        <w:t xml:space="preserve">generare </w:t>
      </w:r>
      <w:r w:rsidR="00440CA9" w:rsidRPr="006400DE">
        <w:rPr>
          <w:rFonts w:ascii="Times New Roman" w:eastAsia="Arial" w:hAnsi="Times New Roman"/>
          <w:sz w:val="24"/>
          <w:szCs w:val="24"/>
        </w:rPr>
        <w:t xml:space="preserve">criticità sotto il profilo concorrenziale attribuendo agli operatori di </w:t>
      </w:r>
      <w:r w:rsidR="00440CA9" w:rsidRPr="006400DE">
        <w:rPr>
          <w:rFonts w:ascii="Times New Roman" w:eastAsia="Arial" w:hAnsi="Times New Roman"/>
          <w:i/>
          <w:iCs/>
          <w:sz w:val="24"/>
          <w:szCs w:val="24"/>
        </w:rPr>
        <w:t>browser</w:t>
      </w:r>
      <w:r w:rsidR="00440CA9" w:rsidRPr="006400DE">
        <w:rPr>
          <w:rFonts w:ascii="Times New Roman" w:eastAsia="Arial" w:hAnsi="Times New Roman"/>
          <w:sz w:val="24"/>
          <w:szCs w:val="24"/>
        </w:rPr>
        <w:t xml:space="preserve"> l’esclusiva gestione dei consensi</w:t>
      </w:r>
      <w:r w:rsidR="00ED0FE5" w:rsidRPr="006400DE">
        <w:rPr>
          <w:rFonts w:ascii="Times New Roman" w:eastAsia="Arial" w:hAnsi="Times New Roman"/>
          <w:sz w:val="24"/>
          <w:szCs w:val="24"/>
        </w:rPr>
        <w:t>,</w:t>
      </w:r>
      <w:r w:rsidR="00440CA9" w:rsidRPr="006400DE">
        <w:rPr>
          <w:rFonts w:ascii="Times New Roman" w:eastAsia="Arial" w:hAnsi="Times New Roman"/>
          <w:sz w:val="24"/>
          <w:szCs w:val="24"/>
        </w:rPr>
        <w:t xml:space="preserve"> aspetto che appare in contraddizione con l’obiettivo della normativa</w:t>
      </w:r>
      <w:r w:rsidR="00ED0FE5" w:rsidRPr="006400DE">
        <w:rPr>
          <w:rFonts w:ascii="Times New Roman" w:eastAsia="Arial" w:hAnsi="Times New Roman"/>
          <w:sz w:val="24"/>
          <w:szCs w:val="24"/>
        </w:rPr>
        <w:t xml:space="preserve"> digitale</w:t>
      </w:r>
      <w:r w:rsidR="00440CA9" w:rsidRPr="006400DE">
        <w:rPr>
          <w:rFonts w:ascii="Times New Roman" w:eastAsia="Arial" w:hAnsi="Times New Roman"/>
          <w:sz w:val="24"/>
          <w:szCs w:val="24"/>
        </w:rPr>
        <w:t xml:space="preserve"> </w:t>
      </w:r>
      <w:r w:rsidR="00ED0FE5" w:rsidRPr="006400DE">
        <w:rPr>
          <w:rFonts w:ascii="Times New Roman" w:eastAsia="Arial" w:hAnsi="Times New Roman"/>
          <w:sz w:val="24"/>
          <w:szCs w:val="24"/>
        </w:rPr>
        <w:t>dell’Unione</w:t>
      </w:r>
      <w:r w:rsidR="00440CA9" w:rsidRPr="006400DE">
        <w:rPr>
          <w:rFonts w:ascii="Times New Roman" w:eastAsia="Arial" w:hAnsi="Times New Roman"/>
          <w:sz w:val="24"/>
          <w:szCs w:val="24"/>
        </w:rPr>
        <w:t xml:space="preserve"> che mira a limitare il potere dei </w:t>
      </w:r>
      <w:proofErr w:type="spellStart"/>
      <w:r w:rsidR="00440CA9" w:rsidRPr="006400DE">
        <w:rPr>
          <w:rFonts w:ascii="Times New Roman" w:eastAsia="Arial" w:hAnsi="Times New Roman"/>
          <w:i/>
          <w:iCs/>
          <w:sz w:val="24"/>
          <w:szCs w:val="24"/>
        </w:rPr>
        <w:t>gatekeeper</w:t>
      </w:r>
      <w:proofErr w:type="spellEnd"/>
      <w:r w:rsidR="00ED0FE5" w:rsidRPr="006400DE">
        <w:rPr>
          <w:rFonts w:ascii="Times New Roman" w:eastAsia="Arial" w:hAnsi="Times New Roman"/>
          <w:sz w:val="24"/>
          <w:szCs w:val="24"/>
        </w:rPr>
        <w:t>;</w:t>
      </w:r>
    </w:p>
    <w:p w14:paraId="35B7B5F1" w14:textId="0E9B8BA0" w:rsidR="00ED0FE5" w:rsidRPr="006400DE" w:rsidRDefault="00440CA9" w:rsidP="00D110C7">
      <w:pPr>
        <w:pStyle w:val="Paragrafoelenco"/>
        <w:numPr>
          <w:ilvl w:val="0"/>
          <w:numId w:val="5"/>
        </w:numPr>
        <w:spacing w:before="0" w:after="120" w:line="300" w:lineRule="atLeast"/>
        <w:contextualSpacing w:val="0"/>
        <w:rPr>
          <w:rFonts w:ascii="Times New Roman" w:eastAsia="Arial" w:hAnsi="Times New Roman"/>
          <w:sz w:val="24"/>
          <w:szCs w:val="24"/>
        </w:rPr>
      </w:pPr>
      <w:r w:rsidRPr="006400DE">
        <w:rPr>
          <w:rFonts w:ascii="Times New Roman" w:eastAsia="Arial" w:hAnsi="Times New Roman"/>
          <w:sz w:val="24"/>
          <w:szCs w:val="24"/>
        </w:rPr>
        <w:t>creare complessità normative in materia di responsabilità</w:t>
      </w:r>
      <w:r w:rsidR="00E67CC9" w:rsidRPr="006400DE">
        <w:rPr>
          <w:rFonts w:ascii="Times New Roman" w:eastAsia="Arial" w:hAnsi="Times New Roman"/>
          <w:sz w:val="24"/>
          <w:szCs w:val="24"/>
        </w:rPr>
        <w:t xml:space="preserve"> del trattamento ai sensi del GDPR</w:t>
      </w:r>
      <w:r w:rsidRPr="006400DE">
        <w:rPr>
          <w:rFonts w:ascii="Times New Roman" w:eastAsia="Arial" w:hAnsi="Times New Roman"/>
          <w:sz w:val="24"/>
          <w:szCs w:val="24"/>
        </w:rPr>
        <w:t>;</w:t>
      </w:r>
    </w:p>
    <w:p w14:paraId="5E943AB8" w14:textId="311549F2" w:rsidR="00ED0FE5" w:rsidRPr="006400DE" w:rsidRDefault="00ED0FE5" w:rsidP="00D110C7">
      <w:pPr>
        <w:pStyle w:val="Paragrafoelenco"/>
        <w:numPr>
          <w:ilvl w:val="0"/>
          <w:numId w:val="5"/>
        </w:numPr>
        <w:spacing w:before="0" w:after="120" w:line="300" w:lineRule="atLeast"/>
        <w:contextualSpacing w:val="0"/>
        <w:rPr>
          <w:rFonts w:ascii="Times New Roman" w:eastAsia="Arial" w:hAnsi="Times New Roman"/>
          <w:sz w:val="24"/>
          <w:szCs w:val="24"/>
        </w:rPr>
      </w:pPr>
      <w:r w:rsidRPr="006400DE">
        <w:rPr>
          <w:rFonts w:ascii="Times New Roman" w:eastAsia="Arial" w:hAnsi="Times New Roman"/>
          <w:sz w:val="24"/>
          <w:szCs w:val="24"/>
        </w:rPr>
        <w:t>minare il modello economico dell’</w:t>
      </w:r>
      <w:r w:rsidR="00553C9C" w:rsidRPr="006400DE">
        <w:rPr>
          <w:rFonts w:ascii="Times New Roman" w:eastAsia="Arial" w:hAnsi="Times New Roman"/>
          <w:i/>
          <w:iCs/>
          <w:sz w:val="24"/>
          <w:szCs w:val="24"/>
        </w:rPr>
        <w:t>Open</w:t>
      </w:r>
      <w:r w:rsidR="00553C9C" w:rsidRPr="006400DE">
        <w:rPr>
          <w:rFonts w:ascii="Times New Roman" w:eastAsia="Arial" w:hAnsi="Times New Roman"/>
          <w:sz w:val="24"/>
          <w:szCs w:val="24"/>
        </w:rPr>
        <w:t xml:space="preserve"> </w:t>
      </w:r>
      <w:r w:rsidRPr="006400DE">
        <w:rPr>
          <w:rFonts w:ascii="Times New Roman" w:eastAsia="Arial" w:hAnsi="Times New Roman"/>
          <w:i/>
          <w:iCs/>
          <w:sz w:val="24"/>
          <w:szCs w:val="24"/>
        </w:rPr>
        <w:t>Internet</w:t>
      </w:r>
      <w:r w:rsidRPr="006400DE">
        <w:rPr>
          <w:rFonts w:ascii="Times New Roman" w:eastAsia="Arial" w:hAnsi="Times New Roman"/>
          <w:sz w:val="24"/>
          <w:szCs w:val="24"/>
        </w:rPr>
        <w:t xml:space="preserve"> penalizzando gli operatori, aspetto che non è stato adeguatamente valutato alla luce della già richiamata decisione della Commissione di non elaborare una valutazione di impatto completa;</w:t>
      </w:r>
    </w:p>
    <w:p w14:paraId="764B80C4" w14:textId="35424DB0" w:rsidR="00553C9C" w:rsidRPr="006400DE" w:rsidRDefault="00495CB9"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 xml:space="preserve">si accoglie con favore la previsione </w:t>
      </w:r>
      <w:r w:rsidR="00553C9C" w:rsidRPr="006400DE">
        <w:rPr>
          <w:rFonts w:ascii="Times New Roman" w:eastAsia="Arial" w:hAnsi="Times New Roman"/>
          <w:sz w:val="24"/>
          <w:szCs w:val="24"/>
        </w:rPr>
        <w:t>de</w:t>
      </w:r>
      <w:r w:rsidRPr="006400DE">
        <w:rPr>
          <w:rFonts w:ascii="Times New Roman" w:eastAsia="Arial" w:hAnsi="Times New Roman"/>
          <w:sz w:val="24"/>
          <w:szCs w:val="24"/>
        </w:rPr>
        <w:t>l</w:t>
      </w:r>
      <w:r w:rsidR="00553C9C" w:rsidRPr="006400DE">
        <w:rPr>
          <w:rFonts w:ascii="Times New Roman" w:eastAsia="Arial" w:hAnsi="Times New Roman"/>
          <w:sz w:val="24"/>
          <w:szCs w:val="24"/>
        </w:rPr>
        <w:t xml:space="preserve"> nuovo </w:t>
      </w:r>
      <w:r w:rsidRPr="006400DE">
        <w:rPr>
          <w:rFonts w:ascii="Times New Roman" w:eastAsia="Arial" w:hAnsi="Times New Roman"/>
          <w:sz w:val="24"/>
          <w:szCs w:val="24"/>
        </w:rPr>
        <w:t xml:space="preserve">articolo 88 </w:t>
      </w:r>
      <w:r w:rsidRPr="006400DE">
        <w:rPr>
          <w:rFonts w:ascii="Times New Roman" w:eastAsia="Arial" w:hAnsi="Times New Roman"/>
          <w:i/>
          <w:iCs/>
          <w:sz w:val="24"/>
          <w:szCs w:val="24"/>
        </w:rPr>
        <w:t>quater</w:t>
      </w:r>
      <w:r w:rsidRPr="006400DE">
        <w:rPr>
          <w:rFonts w:ascii="Times New Roman" w:eastAsia="Arial" w:hAnsi="Times New Roman"/>
          <w:sz w:val="24"/>
          <w:szCs w:val="24"/>
        </w:rPr>
        <w:t xml:space="preserve"> </w:t>
      </w:r>
      <w:r w:rsidR="00553C9C" w:rsidRPr="006400DE">
        <w:rPr>
          <w:rFonts w:ascii="Times New Roman" w:eastAsia="Arial" w:hAnsi="Times New Roman"/>
          <w:sz w:val="24"/>
          <w:szCs w:val="24"/>
        </w:rPr>
        <w:t xml:space="preserve">del GDPR </w:t>
      </w:r>
      <w:r w:rsidRPr="006400DE">
        <w:rPr>
          <w:rFonts w:ascii="Times New Roman" w:eastAsia="Arial" w:hAnsi="Times New Roman"/>
          <w:sz w:val="24"/>
          <w:szCs w:val="24"/>
        </w:rPr>
        <w:t xml:space="preserve">che, prevedendo che in determinate condizioni il legittimo interesse possa costituire la base giuridica per il trattamento dei dati personali nel contesto dello sviluppo e del funzionamento di un sistema o di un modello di IA, risponde a un limite strutturale che ha </w:t>
      </w:r>
      <w:r w:rsidR="00CE0C64" w:rsidRPr="006400DE">
        <w:rPr>
          <w:rFonts w:ascii="Times New Roman" w:eastAsia="Arial" w:hAnsi="Times New Roman"/>
          <w:sz w:val="24"/>
          <w:szCs w:val="24"/>
        </w:rPr>
        <w:t>influito negativamente sulle</w:t>
      </w:r>
      <w:r w:rsidRPr="006400DE">
        <w:rPr>
          <w:rFonts w:ascii="Times New Roman" w:eastAsia="Arial" w:hAnsi="Times New Roman"/>
          <w:sz w:val="24"/>
          <w:szCs w:val="24"/>
        </w:rPr>
        <w:t xml:space="preserve"> capacità </w:t>
      </w:r>
      <w:r w:rsidR="00CE0C64" w:rsidRPr="006400DE">
        <w:rPr>
          <w:rFonts w:ascii="Times New Roman" w:eastAsia="Arial" w:hAnsi="Times New Roman"/>
          <w:sz w:val="24"/>
          <w:szCs w:val="24"/>
        </w:rPr>
        <w:t xml:space="preserve">di sviluppo </w:t>
      </w:r>
      <w:r w:rsidRPr="006400DE">
        <w:rPr>
          <w:rFonts w:ascii="Times New Roman" w:eastAsia="Arial" w:hAnsi="Times New Roman"/>
          <w:sz w:val="24"/>
          <w:szCs w:val="24"/>
        </w:rPr>
        <w:t>delle imprese europee.  L</w:t>
      </w:r>
      <w:r w:rsidR="00945EAE" w:rsidRPr="006400DE">
        <w:rPr>
          <w:rFonts w:ascii="Times New Roman" w:eastAsia="Arial" w:hAnsi="Times New Roman"/>
          <w:sz w:val="24"/>
          <w:szCs w:val="24"/>
        </w:rPr>
        <w:t>’attuale formulazione</w:t>
      </w:r>
      <w:r w:rsidRPr="006400DE">
        <w:rPr>
          <w:rFonts w:ascii="Times New Roman" w:eastAsia="Arial" w:hAnsi="Times New Roman"/>
          <w:sz w:val="24"/>
          <w:szCs w:val="24"/>
        </w:rPr>
        <w:t>, tuttavia</w:t>
      </w:r>
      <w:r w:rsidR="00945EAE" w:rsidRPr="006400DE">
        <w:rPr>
          <w:rFonts w:ascii="Times New Roman" w:eastAsia="Arial" w:hAnsi="Times New Roman"/>
          <w:sz w:val="24"/>
          <w:szCs w:val="24"/>
        </w:rPr>
        <w:t>, nella parte in cui riconosce agli Stati membri la possibilità di richiedere espressamente il consenso, potrebbe determinare rischi di frammentazione del mercato interno e di incertezza giuridica</w:t>
      </w:r>
      <w:r w:rsidR="008933EB" w:rsidRPr="006400DE">
        <w:rPr>
          <w:rFonts w:ascii="Times New Roman" w:eastAsia="Arial" w:hAnsi="Times New Roman"/>
          <w:sz w:val="24"/>
          <w:szCs w:val="24"/>
        </w:rPr>
        <w:t xml:space="preserve"> per gli operatori</w:t>
      </w:r>
      <w:r w:rsidR="00444218" w:rsidRPr="006400DE">
        <w:rPr>
          <w:rFonts w:ascii="Times New Roman" w:eastAsia="Arial" w:hAnsi="Times New Roman"/>
          <w:sz w:val="24"/>
          <w:szCs w:val="24"/>
        </w:rPr>
        <w:t>;</w:t>
      </w:r>
    </w:p>
    <w:p w14:paraId="13F12ED7" w14:textId="704DB2D4" w:rsidR="002B53FB" w:rsidRPr="006400DE" w:rsidRDefault="00553C9C"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a</w:t>
      </w:r>
      <w:r w:rsidR="008933EB" w:rsidRPr="006400DE">
        <w:rPr>
          <w:rFonts w:ascii="Times New Roman" w:eastAsia="Arial" w:hAnsi="Times New Roman"/>
          <w:sz w:val="24"/>
          <w:szCs w:val="24"/>
        </w:rPr>
        <w:t>l contempo</w:t>
      </w:r>
      <w:r w:rsidRPr="006400DE">
        <w:rPr>
          <w:rFonts w:ascii="Times New Roman" w:eastAsia="Arial" w:hAnsi="Times New Roman"/>
          <w:sz w:val="24"/>
          <w:szCs w:val="24"/>
        </w:rPr>
        <w:t>,</w:t>
      </w:r>
      <w:r w:rsidR="00945EAE" w:rsidRPr="006400DE">
        <w:rPr>
          <w:rFonts w:ascii="Times New Roman" w:eastAsia="Arial" w:hAnsi="Times New Roman"/>
          <w:sz w:val="24"/>
          <w:szCs w:val="24"/>
        </w:rPr>
        <w:t xml:space="preserve"> </w:t>
      </w:r>
      <w:r w:rsidR="008933EB" w:rsidRPr="006400DE">
        <w:rPr>
          <w:rFonts w:ascii="Times New Roman" w:eastAsia="Arial" w:hAnsi="Times New Roman"/>
          <w:sz w:val="24"/>
          <w:szCs w:val="24"/>
        </w:rPr>
        <w:t xml:space="preserve">tale disposizione </w:t>
      </w:r>
      <w:r w:rsidRPr="006400DE">
        <w:rPr>
          <w:rFonts w:ascii="Times New Roman" w:eastAsia="Arial" w:hAnsi="Times New Roman"/>
          <w:sz w:val="24"/>
          <w:szCs w:val="24"/>
        </w:rPr>
        <w:t xml:space="preserve">deve essere </w:t>
      </w:r>
      <w:r w:rsidR="00121C5C" w:rsidRPr="006400DE">
        <w:rPr>
          <w:rFonts w:ascii="Times New Roman" w:eastAsia="Arial" w:hAnsi="Times New Roman"/>
          <w:sz w:val="24"/>
          <w:szCs w:val="24"/>
        </w:rPr>
        <w:t>bilanciata da adeguate garanzie di protezione degli utenti</w:t>
      </w:r>
      <w:r w:rsidRPr="006400DE">
        <w:rPr>
          <w:rFonts w:ascii="Times New Roman" w:eastAsia="Arial" w:hAnsi="Times New Roman"/>
          <w:sz w:val="24"/>
          <w:szCs w:val="24"/>
        </w:rPr>
        <w:t>. A</w:t>
      </w:r>
      <w:r w:rsidR="00121C5C" w:rsidRPr="006400DE">
        <w:rPr>
          <w:rFonts w:ascii="Times New Roman" w:eastAsia="Arial" w:hAnsi="Times New Roman"/>
          <w:sz w:val="24"/>
          <w:szCs w:val="24"/>
        </w:rPr>
        <w:t xml:space="preserve">ndrebbe </w:t>
      </w:r>
      <w:r w:rsidRPr="006400DE">
        <w:rPr>
          <w:rFonts w:ascii="Times New Roman" w:eastAsia="Arial" w:hAnsi="Times New Roman"/>
          <w:sz w:val="24"/>
          <w:szCs w:val="24"/>
        </w:rPr>
        <w:t xml:space="preserve">pertanto </w:t>
      </w:r>
      <w:r w:rsidR="00121C5C" w:rsidRPr="006400DE">
        <w:rPr>
          <w:rFonts w:ascii="Times New Roman" w:eastAsia="Arial" w:hAnsi="Times New Roman"/>
          <w:sz w:val="24"/>
          <w:szCs w:val="24"/>
        </w:rPr>
        <w:t xml:space="preserve">chiarito che </w:t>
      </w:r>
      <w:r w:rsidRPr="006400DE">
        <w:rPr>
          <w:rFonts w:ascii="Times New Roman" w:eastAsia="Arial" w:hAnsi="Times New Roman"/>
          <w:sz w:val="24"/>
          <w:szCs w:val="24"/>
        </w:rPr>
        <w:t xml:space="preserve">gli obblighi di maggiore trasparenza, così come </w:t>
      </w:r>
      <w:r w:rsidR="00121C5C" w:rsidRPr="006400DE">
        <w:rPr>
          <w:rFonts w:ascii="Times New Roman" w:eastAsia="Arial" w:hAnsi="Times New Roman"/>
          <w:sz w:val="24"/>
          <w:szCs w:val="24"/>
        </w:rPr>
        <w:t>il diritto incondizionato di opposizione</w:t>
      </w:r>
      <w:r w:rsidRPr="006400DE">
        <w:rPr>
          <w:rFonts w:ascii="Times New Roman" w:eastAsia="Arial" w:hAnsi="Times New Roman"/>
          <w:sz w:val="24"/>
          <w:szCs w:val="24"/>
        </w:rPr>
        <w:t>,</w:t>
      </w:r>
      <w:r w:rsidR="00121C5C" w:rsidRPr="006400DE">
        <w:rPr>
          <w:rFonts w:ascii="Times New Roman" w:eastAsia="Arial" w:hAnsi="Times New Roman"/>
          <w:sz w:val="24"/>
          <w:szCs w:val="24"/>
        </w:rPr>
        <w:t xml:space="preserve"> devono ritenersi ulteriori rispetto </w:t>
      </w:r>
      <w:r w:rsidRPr="006400DE">
        <w:rPr>
          <w:rFonts w:ascii="Times New Roman" w:eastAsia="Arial" w:hAnsi="Times New Roman"/>
          <w:sz w:val="24"/>
          <w:szCs w:val="24"/>
        </w:rPr>
        <w:t xml:space="preserve">a quelli imposti dagli articoli 13 e 14 del GDPR e </w:t>
      </w:r>
      <w:r w:rsidR="00121C5C" w:rsidRPr="006400DE">
        <w:rPr>
          <w:rFonts w:ascii="Times New Roman" w:eastAsia="Arial" w:hAnsi="Times New Roman"/>
          <w:sz w:val="24"/>
          <w:szCs w:val="24"/>
        </w:rPr>
        <w:t>al generale diritto di opposizione</w:t>
      </w:r>
      <w:r w:rsidRPr="006400DE">
        <w:rPr>
          <w:rFonts w:ascii="Times New Roman" w:eastAsia="Arial" w:hAnsi="Times New Roman"/>
          <w:sz w:val="24"/>
          <w:szCs w:val="24"/>
        </w:rPr>
        <w:t xml:space="preserve"> previsto d</w:t>
      </w:r>
      <w:r w:rsidR="00121C5C" w:rsidRPr="006400DE">
        <w:rPr>
          <w:rFonts w:ascii="Times New Roman" w:eastAsia="Arial" w:hAnsi="Times New Roman"/>
          <w:sz w:val="24"/>
          <w:szCs w:val="24"/>
        </w:rPr>
        <w:t>all’articolo 21 del GDPR;</w:t>
      </w:r>
    </w:p>
    <w:p w14:paraId="224B9725" w14:textId="7B8CD6A8" w:rsidR="005A63F8" w:rsidRPr="006400DE" w:rsidRDefault="003C3869"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l’introduzione di un punto di accesso unico per la segnalazione di incidenti, prevista dall’articolo 6</w:t>
      </w:r>
      <w:r w:rsidR="005A63F8" w:rsidRPr="006400DE">
        <w:rPr>
          <w:rFonts w:ascii="Times New Roman" w:eastAsia="Arial" w:hAnsi="Times New Roman"/>
          <w:sz w:val="24"/>
          <w:szCs w:val="24"/>
        </w:rPr>
        <w:t>, paragrafo 1,</w:t>
      </w:r>
      <w:r w:rsidRPr="006400DE">
        <w:rPr>
          <w:rFonts w:ascii="Times New Roman" w:eastAsia="Arial" w:hAnsi="Times New Roman"/>
          <w:sz w:val="24"/>
          <w:szCs w:val="24"/>
        </w:rPr>
        <w:t xml:space="preserve"> della proposta,</w:t>
      </w:r>
      <w:r w:rsidR="005A63F8" w:rsidRPr="006400DE">
        <w:rPr>
          <w:rFonts w:ascii="Times New Roman" w:eastAsia="Arial" w:hAnsi="Times New Roman"/>
          <w:sz w:val="24"/>
          <w:szCs w:val="24"/>
        </w:rPr>
        <w:t xml:space="preserve"> che aggiunge l’articolo 23 </w:t>
      </w:r>
      <w:r w:rsidR="005A63F8" w:rsidRPr="006400DE">
        <w:rPr>
          <w:rFonts w:ascii="Times New Roman" w:eastAsia="Arial" w:hAnsi="Times New Roman"/>
          <w:i/>
          <w:iCs/>
          <w:sz w:val="24"/>
          <w:szCs w:val="24"/>
        </w:rPr>
        <w:t>bis</w:t>
      </w:r>
      <w:r w:rsidR="005A63F8" w:rsidRPr="006400DE">
        <w:rPr>
          <w:rFonts w:ascii="Times New Roman" w:eastAsia="Arial" w:hAnsi="Times New Roman"/>
          <w:sz w:val="24"/>
          <w:szCs w:val="24"/>
        </w:rPr>
        <w:t xml:space="preserve"> alla direttiva (UE) 2022/2555 (direttiva NIS 2), </w:t>
      </w:r>
      <w:r w:rsidRPr="006400DE">
        <w:rPr>
          <w:rFonts w:ascii="Times New Roman" w:eastAsia="Arial" w:hAnsi="Times New Roman"/>
          <w:sz w:val="24"/>
          <w:szCs w:val="24"/>
        </w:rPr>
        <w:t>potrebbe aumentare la complessità dell’attuale sistema basato su strutture nazionali, la cui conoscenza tempestiva della segnalazione non deve in alcun modo essere compromessa</w:t>
      </w:r>
      <w:r w:rsidR="00587DD8" w:rsidRPr="006400DE">
        <w:rPr>
          <w:rFonts w:ascii="Times New Roman" w:eastAsia="Arial" w:hAnsi="Times New Roman"/>
          <w:sz w:val="24"/>
          <w:szCs w:val="24"/>
        </w:rPr>
        <w:t xml:space="preserve">, e </w:t>
      </w:r>
      <w:r w:rsidR="00310741" w:rsidRPr="006400DE">
        <w:rPr>
          <w:rFonts w:ascii="Times New Roman" w:eastAsia="Arial" w:hAnsi="Times New Roman"/>
          <w:sz w:val="24"/>
          <w:szCs w:val="24"/>
        </w:rPr>
        <w:t>penalizzare gli operatori economici di dimensioni minori rispetto alle imprese attive in più giurisdizioni.</w:t>
      </w:r>
      <w:r w:rsidR="00587DD8" w:rsidRPr="006400DE">
        <w:rPr>
          <w:rFonts w:ascii="Times New Roman" w:eastAsia="Arial" w:hAnsi="Times New Roman"/>
          <w:sz w:val="24"/>
          <w:szCs w:val="24"/>
        </w:rPr>
        <w:t xml:space="preserve"> </w:t>
      </w:r>
      <w:r w:rsidR="00310741" w:rsidRPr="006400DE">
        <w:rPr>
          <w:rFonts w:ascii="Times New Roman" w:eastAsia="Arial" w:hAnsi="Times New Roman"/>
          <w:sz w:val="24"/>
          <w:szCs w:val="24"/>
        </w:rPr>
        <w:t xml:space="preserve">Per questi motivi è </w:t>
      </w:r>
      <w:r w:rsidR="00AA6DAE" w:rsidRPr="006400DE">
        <w:rPr>
          <w:rFonts w:ascii="Times New Roman" w:eastAsia="Arial" w:hAnsi="Times New Roman"/>
          <w:sz w:val="24"/>
          <w:szCs w:val="24"/>
        </w:rPr>
        <w:t>opportuno tutelare le specificità nazionali</w:t>
      </w:r>
      <w:r w:rsidR="00587DD8" w:rsidRPr="006400DE">
        <w:rPr>
          <w:rFonts w:ascii="Times New Roman" w:eastAsia="Arial" w:hAnsi="Times New Roman"/>
          <w:sz w:val="24"/>
          <w:szCs w:val="24"/>
        </w:rPr>
        <w:t xml:space="preserve"> e i singoli punti di accesso nazionali,</w:t>
      </w:r>
      <w:r w:rsidR="00AA6DAE" w:rsidRPr="006400DE">
        <w:rPr>
          <w:rFonts w:ascii="Times New Roman" w:eastAsia="Arial" w:hAnsi="Times New Roman"/>
          <w:sz w:val="24"/>
          <w:szCs w:val="24"/>
        </w:rPr>
        <w:t xml:space="preserve"> nonché</w:t>
      </w:r>
      <w:r w:rsidRPr="006400DE">
        <w:rPr>
          <w:rFonts w:ascii="Times New Roman" w:eastAsia="Arial" w:hAnsi="Times New Roman"/>
          <w:sz w:val="24"/>
          <w:szCs w:val="24"/>
        </w:rPr>
        <w:t xml:space="preserve"> la competenza esclusiva degli Stati Membri in materia di sicurezza nazionale</w:t>
      </w:r>
      <w:r w:rsidR="00AA6DAE" w:rsidRPr="006400DE">
        <w:rPr>
          <w:rFonts w:ascii="Times New Roman" w:eastAsia="Arial" w:hAnsi="Times New Roman"/>
          <w:sz w:val="24"/>
          <w:szCs w:val="24"/>
        </w:rPr>
        <w:t>;</w:t>
      </w:r>
    </w:p>
    <w:p w14:paraId="67A1659D" w14:textId="3ECCF1E8" w:rsidR="005A63F8" w:rsidRPr="006400DE" w:rsidRDefault="000E5DC2"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lo stesso articolo 6 della proposta non estende all’intero quadro regolatorio di sicurezza informativa il principio di esonero da responsabilità per i soggetti segnalanti già previsto dall’articolo 23, paragrafo 1, della direttiva NIS 2, secondo cui la sola notifica di un incidente non espone il soggetto che la effettua a una maggiore responsabilità;</w:t>
      </w:r>
    </w:p>
    <w:p w14:paraId="1EB79410" w14:textId="39DDC731" w:rsidR="00962CB6" w:rsidRPr="006400DE" w:rsidRDefault="00962CB6"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 xml:space="preserve">la proposta </w:t>
      </w:r>
      <w:r w:rsidR="005A63F8" w:rsidRPr="006400DE">
        <w:rPr>
          <w:rFonts w:ascii="Times New Roman" w:eastAsia="Arial" w:hAnsi="Times New Roman"/>
          <w:sz w:val="24"/>
          <w:szCs w:val="24"/>
        </w:rPr>
        <w:t xml:space="preserve">non prevede inoltre una piena armonizzazione </w:t>
      </w:r>
      <w:r w:rsidRPr="006400DE">
        <w:rPr>
          <w:rFonts w:ascii="Times New Roman" w:eastAsia="Arial" w:hAnsi="Times New Roman"/>
          <w:sz w:val="24"/>
          <w:szCs w:val="24"/>
        </w:rPr>
        <w:t>degli obblighi di notifica previsti da</w:t>
      </w:r>
      <w:r w:rsidR="005A63F8" w:rsidRPr="006400DE">
        <w:rPr>
          <w:rFonts w:ascii="Times New Roman" w:eastAsia="Arial" w:hAnsi="Times New Roman"/>
          <w:sz w:val="24"/>
          <w:szCs w:val="24"/>
        </w:rPr>
        <w:t>i diversi atti legislativi del</w:t>
      </w:r>
      <w:r w:rsidRPr="006400DE">
        <w:rPr>
          <w:rFonts w:ascii="Times New Roman" w:eastAsia="Arial" w:hAnsi="Times New Roman"/>
          <w:sz w:val="24"/>
          <w:szCs w:val="24"/>
        </w:rPr>
        <w:t xml:space="preserve"> quadro normativo vigente in materia di </w:t>
      </w:r>
      <w:proofErr w:type="spellStart"/>
      <w:r w:rsidRPr="006400DE">
        <w:rPr>
          <w:rFonts w:ascii="Times New Roman" w:eastAsia="Arial" w:hAnsi="Times New Roman"/>
          <w:sz w:val="24"/>
          <w:szCs w:val="24"/>
        </w:rPr>
        <w:t>cibersicurezza</w:t>
      </w:r>
      <w:proofErr w:type="spellEnd"/>
      <w:r w:rsidRPr="006400DE">
        <w:rPr>
          <w:rFonts w:ascii="Times New Roman" w:eastAsia="Arial" w:hAnsi="Times New Roman"/>
          <w:sz w:val="24"/>
          <w:szCs w:val="24"/>
        </w:rPr>
        <w:t>, la cui attuale stratificazione rende onerosa la</w:t>
      </w:r>
      <w:r w:rsidR="005A63F8" w:rsidRPr="006400DE">
        <w:rPr>
          <w:rFonts w:ascii="Times New Roman" w:eastAsia="Arial" w:hAnsi="Times New Roman"/>
          <w:sz w:val="24"/>
          <w:szCs w:val="24"/>
        </w:rPr>
        <w:t xml:space="preserve"> conformità</w:t>
      </w:r>
      <w:r w:rsidRPr="006400DE">
        <w:rPr>
          <w:rFonts w:ascii="Times New Roman" w:eastAsia="Arial" w:hAnsi="Times New Roman"/>
          <w:sz w:val="24"/>
          <w:szCs w:val="24"/>
        </w:rPr>
        <w:t xml:space="preserve"> per le imprese</w:t>
      </w:r>
      <w:r w:rsidR="00965037" w:rsidRPr="006400DE">
        <w:rPr>
          <w:rFonts w:ascii="Times New Roman" w:eastAsia="Arial" w:hAnsi="Times New Roman"/>
          <w:sz w:val="24"/>
          <w:szCs w:val="24"/>
        </w:rPr>
        <w:t xml:space="preserve">. </w:t>
      </w:r>
      <w:r w:rsidR="005A63F8" w:rsidRPr="006400DE">
        <w:rPr>
          <w:rFonts w:ascii="Times New Roman" w:eastAsia="Arial" w:hAnsi="Times New Roman"/>
          <w:sz w:val="24"/>
          <w:szCs w:val="24"/>
        </w:rPr>
        <w:t>Dovrebbe invece garantita l’effettiva adozione del</w:t>
      </w:r>
      <w:r w:rsidR="00965037" w:rsidRPr="006400DE">
        <w:rPr>
          <w:rFonts w:ascii="Times New Roman" w:eastAsia="Arial" w:hAnsi="Times New Roman"/>
          <w:sz w:val="24"/>
          <w:szCs w:val="24"/>
        </w:rPr>
        <w:t xml:space="preserve"> principio </w:t>
      </w:r>
      <w:r w:rsidR="005A63F8" w:rsidRPr="006400DE">
        <w:rPr>
          <w:rFonts w:ascii="Times New Roman" w:eastAsia="Arial" w:hAnsi="Times New Roman"/>
          <w:sz w:val="24"/>
          <w:szCs w:val="24"/>
        </w:rPr>
        <w:t>“</w:t>
      </w:r>
      <w:r w:rsidR="00965037" w:rsidRPr="006400DE">
        <w:rPr>
          <w:rFonts w:ascii="Times New Roman" w:hAnsi="Times New Roman"/>
          <w:i/>
          <w:iCs/>
          <w:sz w:val="24"/>
          <w:szCs w:val="24"/>
        </w:rPr>
        <w:t xml:space="preserve">report once, share </w:t>
      </w:r>
      <w:proofErr w:type="spellStart"/>
      <w:r w:rsidR="00965037" w:rsidRPr="006400DE">
        <w:rPr>
          <w:rFonts w:ascii="Times New Roman" w:hAnsi="Times New Roman"/>
          <w:i/>
          <w:iCs/>
          <w:sz w:val="24"/>
          <w:szCs w:val="24"/>
        </w:rPr>
        <w:t>many</w:t>
      </w:r>
      <w:proofErr w:type="spellEnd"/>
      <w:r w:rsidR="005A63F8" w:rsidRPr="006400DE">
        <w:rPr>
          <w:rFonts w:ascii="Times New Roman" w:hAnsi="Times New Roman"/>
          <w:sz w:val="24"/>
          <w:szCs w:val="24"/>
        </w:rPr>
        <w:t>”</w:t>
      </w:r>
      <w:r w:rsidR="00965037" w:rsidRPr="006400DE">
        <w:rPr>
          <w:rFonts w:ascii="Times New Roman" w:hAnsi="Times New Roman"/>
          <w:sz w:val="24"/>
          <w:szCs w:val="24"/>
        </w:rPr>
        <w:t xml:space="preserve"> per</w:t>
      </w:r>
      <w:r w:rsidR="00965037" w:rsidRPr="006400DE">
        <w:rPr>
          <w:rFonts w:ascii="Times New Roman" w:eastAsia="Arial" w:hAnsi="Times New Roman"/>
          <w:sz w:val="24"/>
          <w:szCs w:val="24"/>
        </w:rPr>
        <w:t xml:space="preserve"> la segnalazione degli incidenti</w:t>
      </w:r>
      <w:r w:rsidR="005A63F8" w:rsidRPr="006400DE">
        <w:rPr>
          <w:rFonts w:ascii="Times New Roman" w:eastAsia="Arial" w:hAnsi="Times New Roman"/>
          <w:sz w:val="24"/>
          <w:szCs w:val="24"/>
        </w:rPr>
        <w:t xml:space="preserve">, che genererebbe </w:t>
      </w:r>
      <w:r w:rsidR="00965037" w:rsidRPr="006400DE">
        <w:rPr>
          <w:rFonts w:ascii="Times New Roman" w:eastAsia="Arial" w:hAnsi="Times New Roman"/>
          <w:sz w:val="24"/>
          <w:szCs w:val="24"/>
        </w:rPr>
        <w:t>una riduzione degli oneri di notifica per gli operatori economici, in particolare per le PMI</w:t>
      </w:r>
      <w:r w:rsidRPr="006400DE">
        <w:rPr>
          <w:rFonts w:ascii="Times New Roman" w:eastAsia="Arial" w:hAnsi="Times New Roman"/>
          <w:sz w:val="24"/>
          <w:szCs w:val="24"/>
        </w:rPr>
        <w:t>;</w:t>
      </w:r>
    </w:p>
    <w:p w14:paraId="3948C4DC" w14:textId="1C081DF0" w:rsidR="00A272DD" w:rsidRPr="006400DE" w:rsidRDefault="00A272DD" w:rsidP="00D110C7">
      <w:pPr>
        <w:spacing w:before="0" w:after="120" w:line="300" w:lineRule="atLeast"/>
        <w:rPr>
          <w:rFonts w:ascii="Times New Roman" w:hAnsi="Times New Roman"/>
          <w:sz w:val="24"/>
          <w:szCs w:val="24"/>
        </w:rPr>
      </w:pPr>
      <w:r w:rsidRPr="006400DE">
        <w:rPr>
          <w:rFonts w:ascii="Times New Roman" w:hAnsi="Times New Roman"/>
          <w:sz w:val="24"/>
          <w:szCs w:val="24"/>
        </w:rPr>
        <w:t>l’articolo 10</w:t>
      </w:r>
      <w:r w:rsidR="00661EE0" w:rsidRPr="006400DE">
        <w:rPr>
          <w:rFonts w:ascii="Times New Roman" w:hAnsi="Times New Roman"/>
          <w:sz w:val="24"/>
          <w:szCs w:val="24"/>
        </w:rPr>
        <w:t xml:space="preserve"> della proposta prevede</w:t>
      </w:r>
      <w:r w:rsidR="00732AF7" w:rsidRPr="006400DE">
        <w:rPr>
          <w:rFonts w:ascii="Times New Roman" w:hAnsi="Times New Roman"/>
          <w:sz w:val="24"/>
          <w:szCs w:val="24"/>
        </w:rPr>
        <w:t xml:space="preserve"> l’abrogazione pressoché integrale del regolamento (UE) 2019/1150 </w:t>
      </w:r>
      <w:r w:rsidR="00661EE0" w:rsidRPr="006400DE">
        <w:rPr>
          <w:rFonts w:ascii="Times New Roman" w:hAnsi="Times New Roman"/>
          <w:sz w:val="24"/>
          <w:szCs w:val="24"/>
        </w:rPr>
        <w:t>(</w:t>
      </w:r>
      <w:r w:rsidR="00732AF7" w:rsidRPr="006400DE">
        <w:rPr>
          <w:rFonts w:ascii="Times New Roman" w:hAnsi="Times New Roman"/>
          <w:sz w:val="24"/>
          <w:szCs w:val="24"/>
        </w:rPr>
        <w:t xml:space="preserve">regolamento </w:t>
      </w:r>
      <w:r w:rsidR="00661EE0" w:rsidRPr="006400DE">
        <w:rPr>
          <w:rFonts w:ascii="Times New Roman" w:hAnsi="Times New Roman"/>
          <w:i/>
          <w:iCs/>
          <w:sz w:val="24"/>
          <w:szCs w:val="24"/>
        </w:rPr>
        <w:t>Platform to Business</w:t>
      </w:r>
      <w:r w:rsidR="00661EE0" w:rsidRPr="006400DE">
        <w:rPr>
          <w:rFonts w:ascii="Times New Roman" w:hAnsi="Times New Roman"/>
          <w:sz w:val="24"/>
          <w:szCs w:val="24"/>
        </w:rPr>
        <w:t xml:space="preserve"> – P</w:t>
      </w:r>
      <w:r w:rsidR="00732AF7" w:rsidRPr="006400DE">
        <w:rPr>
          <w:rFonts w:ascii="Times New Roman" w:hAnsi="Times New Roman"/>
          <w:sz w:val="24"/>
          <w:szCs w:val="24"/>
        </w:rPr>
        <w:t>2B), che costituisce la disciplina specialistica delle relazioni commerciali tra piattaforme e imprese, in quanto i</w:t>
      </w:r>
      <w:r w:rsidR="00661EE0" w:rsidRPr="006400DE">
        <w:rPr>
          <w:rFonts w:ascii="Times New Roman" w:hAnsi="Times New Roman"/>
          <w:sz w:val="24"/>
          <w:szCs w:val="24"/>
        </w:rPr>
        <w:t xml:space="preserve">l </w:t>
      </w:r>
      <w:r w:rsidR="00732AF7" w:rsidRPr="006400DE">
        <w:rPr>
          <w:rFonts w:ascii="Times New Roman" w:hAnsi="Times New Roman"/>
          <w:sz w:val="24"/>
          <w:szCs w:val="24"/>
        </w:rPr>
        <w:t>regolament</w:t>
      </w:r>
      <w:r w:rsidR="00661EE0" w:rsidRPr="006400DE">
        <w:rPr>
          <w:rFonts w:ascii="Times New Roman" w:hAnsi="Times New Roman"/>
          <w:sz w:val="24"/>
          <w:szCs w:val="24"/>
        </w:rPr>
        <w:t>o</w:t>
      </w:r>
      <w:r w:rsidR="00732AF7" w:rsidRPr="006400DE">
        <w:rPr>
          <w:rFonts w:ascii="Times New Roman" w:hAnsi="Times New Roman"/>
          <w:sz w:val="24"/>
          <w:szCs w:val="24"/>
        </w:rPr>
        <w:t xml:space="preserve"> (UE) 2022/2065 </w:t>
      </w:r>
      <w:r w:rsidR="00661EE0" w:rsidRPr="006400DE">
        <w:rPr>
          <w:rFonts w:ascii="Times New Roman" w:hAnsi="Times New Roman"/>
          <w:sz w:val="24"/>
          <w:szCs w:val="24"/>
        </w:rPr>
        <w:t xml:space="preserve">(regolamento sui servizi digitali – DSA) </w:t>
      </w:r>
      <w:r w:rsidR="00732AF7" w:rsidRPr="006400DE">
        <w:rPr>
          <w:rFonts w:ascii="Times New Roman" w:hAnsi="Times New Roman"/>
          <w:sz w:val="24"/>
          <w:szCs w:val="24"/>
        </w:rPr>
        <w:t>e</w:t>
      </w:r>
      <w:r w:rsidR="00661EE0" w:rsidRPr="006400DE">
        <w:rPr>
          <w:rFonts w:ascii="Times New Roman" w:hAnsi="Times New Roman"/>
          <w:sz w:val="24"/>
          <w:szCs w:val="24"/>
        </w:rPr>
        <w:t xml:space="preserve"> il regolamento DMA </w:t>
      </w:r>
      <w:r w:rsidR="00732AF7" w:rsidRPr="006400DE">
        <w:rPr>
          <w:rFonts w:ascii="Times New Roman" w:hAnsi="Times New Roman"/>
          <w:sz w:val="24"/>
          <w:szCs w:val="24"/>
        </w:rPr>
        <w:t>forniscono</w:t>
      </w:r>
      <w:r w:rsidRPr="006400DE">
        <w:rPr>
          <w:rFonts w:ascii="Times New Roman" w:hAnsi="Times New Roman"/>
          <w:sz w:val="24"/>
          <w:szCs w:val="24"/>
        </w:rPr>
        <w:t>, secondo la Commissione europea,</w:t>
      </w:r>
      <w:r w:rsidR="00732AF7" w:rsidRPr="006400DE">
        <w:rPr>
          <w:rFonts w:ascii="Times New Roman" w:hAnsi="Times New Roman"/>
          <w:sz w:val="24"/>
          <w:szCs w:val="24"/>
        </w:rPr>
        <w:t xml:space="preserve"> un quadro normativo completo al fine di garantire ambienti </w:t>
      </w:r>
      <w:r w:rsidR="00732AF7" w:rsidRPr="006400DE">
        <w:rPr>
          <w:rFonts w:ascii="Times New Roman" w:hAnsi="Times New Roman"/>
          <w:i/>
          <w:iCs/>
          <w:sz w:val="24"/>
          <w:szCs w:val="24"/>
        </w:rPr>
        <w:t>online</w:t>
      </w:r>
      <w:r w:rsidR="00732AF7" w:rsidRPr="006400DE">
        <w:rPr>
          <w:rFonts w:ascii="Times New Roman" w:hAnsi="Times New Roman"/>
          <w:sz w:val="24"/>
          <w:szCs w:val="24"/>
        </w:rPr>
        <w:t xml:space="preserve"> sicuri, prevedibili e affidabili per tutti gli utenti e stabiliscono condizioni di parità per le imprese nei mercati digitali (considerando 59).</w:t>
      </w:r>
      <w:r w:rsidR="00661EE0" w:rsidRPr="006400DE">
        <w:rPr>
          <w:rFonts w:ascii="Times New Roman" w:hAnsi="Times New Roman"/>
          <w:sz w:val="24"/>
          <w:szCs w:val="24"/>
        </w:rPr>
        <w:t xml:space="preserve"> Tuttavia, tale abrogazione potrebbe determinare una compressione del livello di tutela attualmente garantito a favore degli utenti commerciali, nonché, sotto il profilo della </w:t>
      </w:r>
      <w:r w:rsidR="00661EE0" w:rsidRPr="006400DE">
        <w:rPr>
          <w:rFonts w:ascii="Times New Roman" w:hAnsi="Times New Roman"/>
          <w:i/>
          <w:iCs/>
          <w:sz w:val="24"/>
          <w:szCs w:val="24"/>
        </w:rPr>
        <w:t>governance</w:t>
      </w:r>
      <w:r w:rsidR="00661EE0" w:rsidRPr="006400DE">
        <w:rPr>
          <w:rFonts w:ascii="Times New Roman" w:hAnsi="Times New Roman"/>
          <w:sz w:val="24"/>
          <w:szCs w:val="24"/>
        </w:rPr>
        <w:t xml:space="preserve">, </w:t>
      </w:r>
      <w:r w:rsidR="00D10D5E" w:rsidRPr="006400DE">
        <w:rPr>
          <w:rFonts w:ascii="Times New Roman" w:hAnsi="Times New Roman"/>
          <w:sz w:val="24"/>
          <w:szCs w:val="24"/>
        </w:rPr>
        <w:t xml:space="preserve">un ridimensionamento del ruolo delle autorità nazionali e la perdita del presidio di prossimità relativo alle esigenze delle imprese, dato che mentre </w:t>
      </w:r>
      <w:r w:rsidR="00F0147D" w:rsidRPr="006400DE">
        <w:rPr>
          <w:rFonts w:ascii="Times New Roman" w:hAnsi="Times New Roman"/>
          <w:sz w:val="24"/>
          <w:szCs w:val="24"/>
        </w:rPr>
        <w:t>i</w:t>
      </w:r>
      <w:r w:rsidR="00732AF7" w:rsidRPr="006400DE">
        <w:rPr>
          <w:rFonts w:ascii="Times New Roman" w:hAnsi="Times New Roman"/>
          <w:sz w:val="24"/>
          <w:szCs w:val="24"/>
        </w:rPr>
        <w:t xml:space="preserve">l regolamento P2B </w:t>
      </w:r>
      <w:r w:rsidR="00F0147D" w:rsidRPr="006400DE">
        <w:rPr>
          <w:rFonts w:ascii="Times New Roman" w:hAnsi="Times New Roman"/>
          <w:sz w:val="24"/>
          <w:szCs w:val="24"/>
        </w:rPr>
        <w:t xml:space="preserve">attribuisce competenze di </w:t>
      </w:r>
      <w:r w:rsidR="00F0147D" w:rsidRPr="006400DE">
        <w:rPr>
          <w:rFonts w:ascii="Times New Roman" w:hAnsi="Times New Roman"/>
          <w:i/>
          <w:iCs/>
          <w:sz w:val="24"/>
          <w:szCs w:val="24"/>
        </w:rPr>
        <w:t>enforcement</w:t>
      </w:r>
      <w:r w:rsidR="00F0147D" w:rsidRPr="006400DE">
        <w:rPr>
          <w:rFonts w:ascii="Times New Roman" w:hAnsi="Times New Roman"/>
          <w:sz w:val="24"/>
          <w:szCs w:val="24"/>
        </w:rPr>
        <w:t xml:space="preserve"> alle autorità nazionali, il</w:t>
      </w:r>
      <w:r w:rsidR="00D10D5E" w:rsidRPr="006400DE">
        <w:rPr>
          <w:rFonts w:ascii="Times New Roman" w:hAnsi="Times New Roman"/>
          <w:sz w:val="24"/>
          <w:szCs w:val="24"/>
        </w:rPr>
        <w:t xml:space="preserve"> regolamento</w:t>
      </w:r>
      <w:r w:rsidR="00F0147D" w:rsidRPr="006400DE">
        <w:rPr>
          <w:rFonts w:ascii="Times New Roman" w:hAnsi="Times New Roman"/>
          <w:sz w:val="24"/>
          <w:szCs w:val="24"/>
        </w:rPr>
        <w:t xml:space="preserve"> DSA prevede una centralizzazione delle funzioni di vigilanza secondo il principio del Paese di origine</w:t>
      </w:r>
      <w:r w:rsidR="00D10D5E" w:rsidRPr="006400DE">
        <w:rPr>
          <w:rFonts w:ascii="Times New Roman" w:hAnsi="Times New Roman"/>
          <w:sz w:val="24"/>
          <w:szCs w:val="24"/>
        </w:rPr>
        <w:t>;</w:t>
      </w:r>
    </w:p>
    <w:p w14:paraId="19D6A532" w14:textId="77777777" w:rsidR="0039033B" w:rsidRPr="006400DE" w:rsidRDefault="0039033B" w:rsidP="00BC4C7E">
      <w:pPr>
        <w:spacing w:before="0" w:after="120" w:line="300" w:lineRule="atLeast"/>
        <w:rPr>
          <w:rFonts w:ascii="Times New Roman" w:hAnsi="Times New Roman"/>
          <w:sz w:val="24"/>
          <w:szCs w:val="24"/>
        </w:rPr>
      </w:pPr>
    </w:p>
    <w:p w14:paraId="3CC9D003" w14:textId="5EA7B48E" w:rsidR="00BC4C7E" w:rsidRPr="006400DE" w:rsidRDefault="009862C9" w:rsidP="00BC4C7E">
      <w:pPr>
        <w:spacing w:before="0" w:after="120" w:line="300" w:lineRule="atLeast"/>
        <w:rPr>
          <w:rFonts w:ascii="Times New Roman" w:hAnsi="Times New Roman"/>
          <w:sz w:val="24"/>
          <w:szCs w:val="24"/>
        </w:rPr>
      </w:pPr>
      <w:r w:rsidRPr="006400DE">
        <w:rPr>
          <w:rFonts w:ascii="Times New Roman" w:hAnsi="Times New Roman"/>
          <w:sz w:val="24"/>
          <w:szCs w:val="24"/>
        </w:rPr>
        <w:t>considerato altresì che</w:t>
      </w:r>
      <w:r w:rsidR="00BC4C7E" w:rsidRPr="006400DE">
        <w:rPr>
          <w:rFonts w:ascii="Times New Roman" w:hAnsi="Times New Roman"/>
          <w:sz w:val="24"/>
          <w:szCs w:val="24"/>
        </w:rPr>
        <w:t xml:space="preserve"> il successo dell’iniziativa dipenderà dalla capacità di conseguire una effettiva riduzione della complessità normativa senza compromettere la certezza del diritto, la tutela dei diritti fondamentali e il corretto funzionamento del mercato unico digitale;</w:t>
      </w:r>
    </w:p>
    <w:p w14:paraId="0EC7F4A7" w14:textId="77777777" w:rsidR="00BC4C7E" w:rsidRPr="006400DE" w:rsidRDefault="00BC4C7E" w:rsidP="00D110C7">
      <w:pPr>
        <w:spacing w:before="0" w:after="120" w:line="300" w:lineRule="atLeast"/>
        <w:rPr>
          <w:rFonts w:ascii="Times New Roman" w:eastAsia="Arial" w:hAnsi="Times New Roman"/>
          <w:sz w:val="24"/>
          <w:szCs w:val="24"/>
        </w:rPr>
      </w:pPr>
    </w:p>
    <w:p w14:paraId="206DB326" w14:textId="7A0A8202" w:rsidR="00C90AA6" w:rsidRPr="006400DE" w:rsidRDefault="00C90AA6" w:rsidP="00D110C7">
      <w:pPr>
        <w:spacing w:before="0" w:after="120" w:line="300" w:lineRule="atLeast"/>
        <w:rPr>
          <w:rFonts w:ascii="Times New Roman" w:eastAsia="Arial" w:hAnsi="Times New Roman"/>
          <w:sz w:val="24"/>
          <w:szCs w:val="24"/>
        </w:rPr>
      </w:pPr>
      <w:r w:rsidRPr="006400DE">
        <w:rPr>
          <w:rFonts w:ascii="Times New Roman" w:eastAsia="Arial" w:hAnsi="Times New Roman"/>
          <w:sz w:val="24"/>
          <w:szCs w:val="24"/>
        </w:rPr>
        <w:t>rilevata la necessità che il presente documento finale sia trasmesso tempestivamente alla Commissione europea, nell’ambito del cosiddetto dialogo politico, nonché al Parlamento europeo e al Consiglio,</w:t>
      </w:r>
    </w:p>
    <w:p w14:paraId="2B7E6F5B" w14:textId="77777777" w:rsidR="008D6481" w:rsidRPr="006400DE" w:rsidRDefault="008D6481" w:rsidP="00D110C7">
      <w:pPr>
        <w:spacing w:before="0" w:after="120" w:line="300" w:lineRule="atLeast"/>
        <w:rPr>
          <w:rFonts w:ascii="Times New Roman" w:eastAsia="Arial" w:hAnsi="Times New Roman"/>
          <w:sz w:val="24"/>
          <w:szCs w:val="24"/>
        </w:rPr>
      </w:pPr>
    </w:p>
    <w:p w14:paraId="2D07AEEC" w14:textId="77777777" w:rsidR="00C90AA6" w:rsidRPr="006400DE" w:rsidRDefault="00C90AA6" w:rsidP="00D110C7">
      <w:pPr>
        <w:spacing w:before="0" w:after="120" w:line="300" w:lineRule="atLeast"/>
        <w:rPr>
          <w:rFonts w:ascii="Times New Roman" w:hAnsi="Times New Roman"/>
          <w:sz w:val="24"/>
          <w:szCs w:val="24"/>
        </w:rPr>
      </w:pPr>
      <w:r w:rsidRPr="006400DE">
        <w:rPr>
          <w:rFonts w:ascii="Times New Roman" w:eastAsia="Arial" w:hAnsi="Times New Roman"/>
          <w:sz w:val="24"/>
          <w:szCs w:val="24"/>
        </w:rPr>
        <w:t>esprime</w:t>
      </w:r>
      <w:r w:rsidRPr="006400DE">
        <w:rPr>
          <w:rFonts w:ascii="Times New Roman" w:hAnsi="Times New Roman"/>
          <w:sz w:val="24"/>
          <w:szCs w:val="24"/>
        </w:rPr>
        <w:t xml:space="preserve"> una</w:t>
      </w:r>
    </w:p>
    <w:p w14:paraId="1ACE7153" w14:textId="77777777" w:rsidR="00C90AA6" w:rsidRPr="006400DE" w:rsidRDefault="00C90AA6" w:rsidP="00D110C7">
      <w:pPr>
        <w:spacing w:before="0" w:after="120" w:line="300" w:lineRule="atLeast"/>
        <w:rPr>
          <w:rFonts w:ascii="Times New Roman" w:eastAsia="Arial" w:hAnsi="Times New Roman"/>
          <w:sz w:val="24"/>
          <w:szCs w:val="24"/>
        </w:rPr>
      </w:pPr>
    </w:p>
    <w:p w14:paraId="7CDE2B9B" w14:textId="77777777" w:rsidR="00C90AA6" w:rsidRPr="006400DE" w:rsidRDefault="00C90AA6" w:rsidP="00BC4C7E">
      <w:pPr>
        <w:spacing w:before="0" w:after="120" w:line="300" w:lineRule="atLeast"/>
        <w:ind w:firstLine="0"/>
        <w:jc w:val="center"/>
        <w:rPr>
          <w:rFonts w:ascii="Times New Roman" w:eastAsia="Arial" w:hAnsi="Times New Roman"/>
          <w:sz w:val="24"/>
          <w:szCs w:val="24"/>
        </w:rPr>
      </w:pPr>
      <w:r w:rsidRPr="006400DE">
        <w:rPr>
          <w:rFonts w:ascii="Times New Roman" w:eastAsia="Arial" w:hAnsi="Times New Roman"/>
          <w:sz w:val="24"/>
          <w:szCs w:val="24"/>
        </w:rPr>
        <w:t>VALUTAZIONE FAVOREVOLE</w:t>
      </w:r>
    </w:p>
    <w:p w14:paraId="6A98DDD7" w14:textId="77777777" w:rsidR="00AB3BBB" w:rsidRPr="006400DE" w:rsidRDefault="00AB3BBB" w:rsidP="00D110C7">
      <w:pPr>
        <w:spacing w:before="0" w:after="120" w:line="300" w:lineRule="atLeast"/>
        <w:rPr>
          <w:rFonts w:ascii="Times New Roman" w:eastAsia="Arial" w:hAnsi="Times New Roman"/>
          <w:iCs/>
          <w:sz w:val="24"/>
          <w:szCs w:val="24"/>
        </w:rPr>
      </w:pPr>
    </w:p>
    <w:p w14:paraId="4BFADB9C" w14:textId="02F3E560" w:rsidR="006400DE" w:rsidRPr="006400DE" w:rsidRDefault="006400DE" w:rsidP="00D110C7">
      <w:pPr>
        <w:spacing w:before="0" w:after="120" w:line="300" w:lineRule="atLeast"/>
        <w:rPr>
          <w:rFonts w:ascii="Times New Roman" w:eastAsia="Arial" w:hAnsi="Times New Roman"/>
          <w:i/>
          <w:sz w:val="24"/>
          <w:szCs w:val="24"/>
        </w:rPr>
      </w:pPr>
      <w:r w:rsidRPr="006400DE">
        <w:rPr>
          <w:rFonts w:ascii="Times New Roman" w:eastAsia="Arial" w:hAnsi="Times New Roman"/>
          <w:i/>
          <w:sz w:val="24"/>
          <w:szCs w:val="24"/>
        </w:rPr>
        <w:t>con le seguenti condizioni</w:t>
      </w:r>
    </w:p>
    <w:p w14:paraId="1908F293" w14:textId="77777777" w:rsidR="006400DE" w:rsidRPr="006400DE" w:rsidRDefault="006400DE" w:rsidP="00D110C7">
      <w:pPr>
        <w:spacing w:before="0" w:after="120" w:line="300" w:lineRule="atLeast"/>
        <w:rPr>
          <w:rFonts w:ascii="Times New Roman" w:eastAsia="Arial" w:hAnsi="Times New Roman"/>
          <w:iCs/>
          <w:sz w:val="24"/>
          <w:szCs w:val="24"/>
        </w:rPr>
      </w:pPr>
    </w:p>
    <w:p w14:paraId="722B8022" w14:textId="77777777" w:rsidR="006400DE" w:rsidRPr="006400DE" w:rsidRDefault="006400DE" w:rsidP="006400DE">
      <w:pPr>
        <w:numPr>
          <w:ilvl w:val="0"/>
          <w:numId w:val="3"/>
        </w:numPr>
        <w:spacing w:before="0" w:after="120" w:line="300" w:lineRule="atLeast"/>
        <w:rPr>
          <w:rFonts w:ascii="Times New Roman" w:eastAsia="Arial" w:hAnsi="Times New Roman"/>
          <w:iCs/>
          <w:sz w:val="24"/>
          <w:szCs w:val="24"/>
        </w:rPr>
      </w:pPr>
      <w:r w:rsidRPr="006400DE">
        <w:rPr>
          <w:rFonts w:ascii="Times New Roman" w:eastAsia="Arial" w:hAnsi="Times New Roman"/>
          <w:iCs/>
          <w:sz w:val="24"/>
          <w:szCs w:val="24"/>
        </w:rPr>
        <w:t>si elimini il periodo 8 del considerando 44b del testo di compromesso proposto dalla Presidenza cipriota il 10 giugno, riformulando il periodo 7 come segue:</w:t>
      </w:r>
    </w:p>
    <w:p w14:paraId="09DF8F1E" w14:textId="197B7029" w:rsidR="006400DE" w:rsidRPr="00E47E94" w:rsidRDefault="006400DE" w:rsidP="006400DE">
      <w:pPr>
        <w:spacing w:before="0" w:after="120" w:line="300" w:lineRule="atLeast"/>
        <w:rPr>
          <w:rFonts w:ascii="Times New Roman" w:eastAsia="Arial" w:hAnsi="Times New Roman"/>
          <w:iCs/>
          <w:sz w:val="24"/>
          <w:szCs w:val="24"/>
        </w:rPr>
      </w:pPr>
      <w:r w:rsidRPr="006400DE">
        <w:rPr>
          <w:rFonts w:ascii="Times New Roman" w:eastAsia="Arial" w:hAnsi="Times New Roman"/>
          <w:iCs/>
          <w:sz w:val="24"/>
          <w:szCs w:val="24"/>
        </w:rPr>
        <w:t>“La misurazione dell’</w:t>
      </w:r>
      <w:r w:rsidRPr="006C36D7">
        <w:rPr>
          <w:rFonts w:ascii="Times New Roman" w:eastAsia="Arial" w:hAnsi="Times New Roman"/>
          <w:i/>
          <w:iCs/>
          <w:sz w:val="24"/>
          <w:szCs w:val="24"/>
        </w:rPr>
        <w:t>audience</w:t>
      </w:r>
      <w:r w:rsidRPr="006400DE">
        <w:rPr>
          <w:rFonts w:ascii="Times New Roman" w:eastAsia="Arial" w:hAnsi="Times New Roman"/>
          <w:iCs/>
          <w:sz w:val="24"/>
          <w:szCs w:val="24"/>
        </w:rPr>
        <w:t xml:space="preserve"> di un servizio </w:t>
      </w:r>
      <w:r w:rsidRPr="006C36D7">
        <w:rPr>
          <w:rFonts w:ascii="Times New Roman" w:eastAsia="Arial" w:hAnsi="Times New Roman"/>
          <w:i/>
          <w:iCs/>
          <w:sz w:val="24"/>
          <w:szCs w:val="24"/>
        </w:rPr>
        <w:t>online</w:t>
      </w:r>
      <w:r w:rsidRPr="006400DE">
        <w:rPr>
          <w:rFonts w:ascii="Times New Roman" w:eastAsia="Arial" w:hAnsi="Times New Roman"/>
          <w:iCs/>
          <w:sz w:val="24"/>
          <w:szCs w:val="24"/>
        </w:rPr>
        <w:t xml:space="preserve"> al fine di creare informazioni </w:t>
      </w:r>
      <w:r w:rsidR="00BB63AD" w:rsidRPr="00BB63AD">
        <w:rPr>
          <w:rFonts w:ascii="Times New Roman" w:eastAsia="Arial" w:hAnsi="Times New Roman"/>
          <w:b/>
          <w:bCs/>
          <w:iCs/>
          <w:strike/>
          <w:sz w:val="24"/>
          <w:szCs w:val="24"/>
        </w:rPr>
        <w:t>aggregate anonime</w:t>
      </w:r>
      <w:r w:rsidR="00BB63AD">
        <w:rPr>
          <w:rFonts w:ascii="Times New Roman" w:eastAsia="Arial" w:hAnsi="Times New Roman"/>
          <w:iCs/>
          <w:sz w:val="24"/>
          <w:szCs w:val="24"/>
        </w:rPr>
        <w:t xml:space="preserve"> </w:t>
      </w:r>
      <w:r w:rsidRPr="006400DE">
        <w:rPr>
          <w:rFonts w:ascii="Times New Roman" w:eastAsia="Arial" w:hAnsi="Times New Roman"/>
          <w:iCs/>
          <w:sz w:val="24"/>
          <w:szCs w:val="24"/>
        </w:rPr>
        <w:t xml:space="preserve">sull’utilizzo di tale servizio, qualora sia effettuata dal fornitore del servizio stesso, o da una terza parte che agisce in collaborazione con o per conto di tale fornitore, oppure da un titolare del trattamento indipendente, quale una società di ricerche di mercato o un </w:t>
      </w:r>
      <w:r w:rsidRPr="006400DE">
        <w:rPr>
          <w:rFonts w:ascii="Times New Roman" w:eastAsia="Arial" w:hAnsi="Times New Roman"/>
          <w:i/>
          <w:iCs/>
          <w:sz w:val="24"/>
          <w:szCs w:val="24"/>
        </w:rPr>
        <w:t>Joint Industry Committee</w:t>
      </w:r>
      <w:r w:rsidRPr="006400DE">
        <w:rPr>
          <w:rFonts w:ascii="Times New Roman" w:eastAsia="Arial" w:hAnsi="Times New Roman"/>
          <w:iCs/>
          <w:sz w:val="24"/>
          <w:szCs w:val="24"/>
        </w:rPr>
        <w:t>, denominata anche ‘misurazione dell’</w:t>
      </w:r>
      <w:r w:rsidRPr="006400DE">
        <w:rPr>
          <w:rFonts w:ascii="Times New Roman" w:eastAsia="Arial" w:hAnsi="Times New Roman"/>
          <w:i/>
          <w:iCs/>
          <w:sz w:val="24"/>
          <w:szCs w:val="24"/>
        </w:rPr>
        <w:t>audience</w:t>
      </w:r>
      <w:r w:rsidRPr="006400DE">
        <w:rPr>
          <w:rFonts w:ascii="Times New Roman" w:eastAsia="Arial" w:hAnsi="Times New Roman"/>
          <w:iCs/>
          <w:sz w:val="24"/>
          <w:szCs w:val="24"/>
        </w:rPr>
        <w:t xml:space="preserve">’ – come definita nel regolamento (UE) 2024/1083, art. 2 comma 16 e art.24 – la quale indica il trattamento di tali dati e informazioni al fine di ottenere informazioni sulle prestazioni e sull’utilizzo del servizio </w:t>
      </w:r>
      <w:r w:rsidRPr="005B70BF">
        <w:rPr>
          <w:rFonts w:ascii="Times New Roman" w:eastAsia="Arial" w:hAnsi="Times New Roman"/>
          <w:iCs/>
          <w:sz w:val="24"/>
          <w:szCs w:val="24"/>
        </w:rPr>
        <w:t>online</w:t>
      </w:r>
      <w:r w:rsidR="003C7AF0">
        <w:rPr>
          <w:rFonts w:ascii="Times New Roman" w:eastAsia="Arial" w:hAnsi="Times New Roman"/>
          <w:iCs/>
          <w:sz w:val="24"/>
          <w:szCs w:val="24"/>
        </w:rPr>
        <w:t xml:space="preserve"> </w:t>
      </w:r>
      <w:r w:rsidR="003C7AF0" w:rsidRPr="003C7AF0">
        <w:rPr>
          <w:rFonts w:ascii="Times New Roman" w:eastAsia="Arial" w:hAnsi="Times New Roman"/>
          <w:b/>
          <w:bCs/>
          <w:iCs/>
          <w:strike/>
          <w:sz w:val="24"/>
          <w:szCs w:val="24"/>
        </w:rPr>
        <w:t>in modo anonimizzato, aggregato e generale</w:t>
      </w:r>
      <w:r w:rsidR="00E47E94">
        <w:rPr>
          <w:rFonts w:ascii="Times New Roman" w:eastAsia="Arial" w:hAnsi="Times New Roman"/>
          <w:iCs/>
          <w:sz w:val="24"/>
          <w:szCs w:val="24"/>
        </w:rPr>
        <w:t xml:space="preserve">. </w:t>
      </w:r>
      <w:r w:rsidR="005B70BF" w:rsidRPr="003C7AF0">
        <w:rPr>
          <w:rFonts w:ascii="Times New Roman" w:eastAsia="Arial" w:hAnsi="Times New Roman"/>
          <w:b/>
          <w:bCs/>
          <w:iCs/>
          <w:sz w:val="24"/>
          <w:szCs w:val="24"/>
        </w:rPr>
        <w:t>I dati personali inizialmente raccolti non dovrebbero essere ulteriormente trattati per un'altra finalità, combinati con i dati di altri servizi del fornitore del servizio online o di terze parti, come informazioni di analisi provenienti da altri siti web o app, o condivisi con terze parti, fatto salvo qualsiasi trattamento strettamente necessario per finalità operative ed esclusivamente per la fornitura dei risultati di misurazione dell'</w:t>
      </w:r>
      <w:r w:rsidR="005B70BF" w:rsidRPr="006C36D7">
        <w:rPr>
          <w:rFonts w:ascii="Times New Roman" w:eastAsia="Arial" w:hAnsi="Times New Roman"/>
          <w:b/>
          <w:bCs/>
          <w:i/>
          <w:iCs/>
          <w:sz w:val="24"/>
          <w:szCs w:val="24"/>
        </w:rPr>
        <w:t>audience</w:t>
      </w:r>
      <w:r w:rsidR="005B70BF" w:rsidRPr="003C7AF0">
        <w:rPr>
          <w:rFonts w:ascii="Times New Roman" w:eastAsia="Arial" w:hAnsi="Times New Roman"/>
          <w:b/>
          <w:bCs/>
          <w:iCs/>
          <w:sz w:val="24"/>
          <w:szCs w:val="24"/>
        </w:rPr>
        <w:t xml:space="preserve"> ai sensi dell'articolo 24, paragrafo 1, dell'EMFA</w:t>
      </w:r>
      <w:r w:rsidR="00CE26DE">
        <w:rPr>
          <w:rFonts w:ascii="Times New Roman" w:eastAsia="Arial" w:hAnsi="Times New Roman"/>
          <w:iCs/>
          <w:sz w:val="24"/>
          <w:szCs w:val="24"/>
        </w:rPr>
        <w:t>”.</w:t>
      </w:r>
      <w:bookmarkStart w:id="0" w:name="_GoBack"/>
      <w:bookmarkEnd w:id="0"/>
    </w:p>
    <w:p w14:paraId="608221A0" w14:textId="6B80BBB0" w:rsidR="006400DE" w:rsidRPr="006400DE" w:rsidRDefault="006400DE" w:rsidP="006400DE">
      <w:pPr>
        <w:numPr>
          <w:ilvl w:val="0"/>
          <w:numId w:val="3"/>
        </w:numPr>
        <w:spacing w:before="0" w:after="120" w:line="300" w:lineRule="atLeast"/>
        <w:rPr>
          <w:rFonts w:ascii="Times New Roman" w:eastAsia="Arial" w:hAnsi="Times New Roman"/>
          <w:b/>
          <w:bCs/>
          <w:iCs/>
          <w:sz w:val="24"/>
          <w:szCs w:val="24"/>
        </w:rPr>
      </w:pPr>
      <w:r w:rsidRPr="006400DE">
        <w:rPr>
          <w:rFonts w:ascii="Times New Roman" w:eastAsia="Arial" w:hAnsi="Times New Roman"/>
          <w:iCs/>
          <w:sz w:val="24"/>
          <w:szCs w:val="24"/>
        </w:rPr>
        <w:t>si riformuli l’articolo 5, paragrafo 2, del testo di compromesso del 10 giugno nella parte in cui modifica l’art</w:t>
      </w:r>
      <w:r w:rsidR="006C36D7">
        <w:rPr>
          <w:rFonts w:ascii="Times New Roman" w:eastAsia="Arial" w:hAnsi="Times New Roman"/>
          <w:iCs/>
          <w:sz w:val="24"/>
          <w:szCs w:val="24"/>
        </w:rPr>
        <w:t>icolo 5, comma 3, lettera</w:t>
      </w:r>
      <w:r w:rsidRPr="006400DE">
        <w:rPr>
          <w:rFonts w:ascii="Times New Roman" w:eastAsia="Arial" w:hAnsi="Times New Roman"/>
          <w:iCs/>
          <w:sz w:val="24"/>
          <w:szCs w:val="24"/>
        </w:rPr>
        <w:t xml:space="preserve"> c), della direttiva </w:t>
      </w:r>
      <w:proofErr w:type="spellStart"/>
      <w:r w:rsidRPr="006400DE">
        <w:rPr>
          <w:rFonts w:ascii="Times New Roman" w:eastAsia="Arial" w:hAnsi="Times New Roman"/>
          <w:i/>
          <w:iCs/>
          <w:sz w:val="24"/>
          <w:szCs w:val="24"/>
        </w:rPr>
        <w:t>ePrivacy</w:t>
      </w:r>
      <w:proofErr w:type="spellEnd"/>
      <w:r w:rsidRPr="006400DE">
        <w:rPr>
          <w:rFonts w:ascii="Times New Roman" w:eastAsia="Arial" w:hAnsi="Times New Roman"/>
          <w:iCs/>
          <w:sz w:val="24"/>
          <w:szCs w:val="24"/>
        </w:rPr>
        <w:t xml:space="preserve"> nel seguente modo:</w:t>
      </w:r>
    </w:p>
    <w:p w14:paraId="7B50EC03" w14:textId="639769A8" w:rsidR="006400DE" w:rsidRPr="006400DE" w:rsidRDefault="006C36D7" w:rsidP="006400DE">
      <w:pPr>
        <w:spacing w:before="0" w:after="120" w:line="300" w:lineRule="atLeast"/>
        <w:rPr>
          <w:rFonts w:ascii="Times New Roman" w:eastAsia="Arial" w:hAnsi="Times New Roman"/>
          <w:b/>
          <w:bCs/>
          <w:iCs/>
          <w:sz w:val="24"/>
          <w:szCs w:val="24"/>
        </w:rPr>
      </w:pPr>
      <w:r>
        <w:rPr>
          <w:rFonts w:ascii="Times New Roman" w:eastAsia="Arial" w:hAnsi="Times New Roman"/>
          <w:iCs/>
          <w:sz w:val="24"/>
          <w:szCs w:val="24"/>
        </w:rPr>
        <w:t>“L</w:t>
      </w:r>
      <w:r w:rsidR="006400DE" w:rsidRPr="006400DE">
        <w:rPr>
          <w:rFonts w:ascii="Times New Roman" w:eastAsia="Arial" w:hAnsi="Times New Roman"/>
          <w:iCs/>
          <w:sz w:val="24"/>
          <w:szCs w:val="24"/>
        </w:rPr>
        <w:t xml:space="preserve">a misurazione dell’audience di un servizio </w:t>
      </w:r>
      <w:r w:rsidR="006400DE" w:rsidRPr="006C36D7">
        <w:rPr>
          <w:rFonts w:ascii="Times New Roman" w:eastAsia="Arial" w:hAnsi="Times New Roman"/>
          <w:i/>
          <w:iCs/>
          <w:sz w:val="24"/>
          <w:szCs w:val="24"/>
        </w:rPr>
        <w:t>online</w:t>
      </w:r>
      <w:r w:rsidR="006400DE" w:rsidRPr="006400DE">
        <w:rPr>
          <w:rFonts w:ascii="Times New Roman" w:eastAsia="Arial" w:hAnsi="Times New Roman"/>
          <w:iCs/>
          <w:sz w:val="24"/>
          <w:szCs w:val="24"/>
        </w:rPr>
        <w:t xml:space="preserve"> al fine di creare informazioni </w:t>
      </w:r>
      <w:r w:rsidR="003C7AF0" w:rsidRPr="003C7AF0">
        <w:rPr>
          <w:rFonts w:ascii="Times New Roman" w:eastAsia="Arial" w:hAnsi="Times New Roman"/>
          <w:b/>
          <w:bCs/>
          <w:iCs/>
          <w:strike/>
          <w:sz w:val="24"/>
          <w:szCs w:val="24"/>
        </w:rPr>
        <w:t>aggregate anonime</w:t>
      </w:r>
      <w:r w:rsidR="003C7AF0">
        <w:rPr>
          <w:rFonts w:ascii="Times New Roman" w:eastAsia="Arial" w:hAnsi="Times New Roman"/>
          <w:iCs/>
          <w:sz w:val="24"/>
          <w:szCs w:val="24"/>
        </w:rPr>
        <w:t xml:space="preserve"> </w:t>
      </w:r>
      <w:r w:rsidR="006400DE" w:rsidRPr="006400DE">
        <w:rPr>
          <w:rFonts w:ascii="Times New Roman" w:eastAsia="Arial" w:hAnsi="Times New Roman"/>
          <w:iCs/>
          <w:sz w:val="24"/>
          <w:szCs w:val="24"/>
        </w:rPr>
        <w:t xml:space="preserve">sull’utilizzo di tale servizio </w:t>
      </w:r>
      <w:r w:rsidR="006400DE" w:rsidRPr="006C36D7">
        <w:rPr>
          <w:rFonts w:ascii="Times New Roman" w:eastAsia="Arial" w:hAnsi="Times New Roman"/>
          <w:i/>
          <w:iCs/>
          <w:sz w:val="24"/>
          <w:szCs w:val="24"/>
        </w:rPr>
        <w:t>online</w:t>
      </w:r>
      <w:r w:rsidR="006400DE" w:rsidRPr="006400DE">
        <w:rPr>
          <w:rFonts w:ascii="Times New Roman" w:eastAsia="Arial" w:hAnsi="Times New Roman"/>
          <w:iCs/>
          <w:sz w:val="24"/>
          <w:szCs w:val="24"/>
        </w:rPr>
        <w:t xml:space="preserve">, qualora sia effettuata dal fornitore di tale servizio </w:t>
      </w:r>
      <w:r w:rsidR="006400DE" w:rsidRPr="006C36D7">
        <w:rPr>
          <w:rFonts w:ascii="Times New Roman" w:eastAsia="Arial" w:hAnsi="Times New Roman"/>
          <w:i/>
          <w:iCs/>
          <w:sz w:val="24"/>
          <w:szCs w:val="24"/>
        </w:rPr>
        <w:t>online</w:t>
      </w:r>
      <w:r w:rsidR="006400DE" w:rsidRPr="006400DE">
        <w:rPr>
          <w:rFonts w:ascii="Times New Roman" w:eastAsia="Arial" w:hAnsi="Times New Roman"/>
          <w:iCs/>
          <w:sz w:val="24"/>
          <w:szCs w:val="24"/>
        </w:rPr>
        <w:t xml:space="preserve">, da un terzo che agisce in collaborazione con o per conto di tale fornitore, oppure da un titolare del trattamento indipendente, quale una società di ricerche di mercato o un </w:t>
      </w:r>
      <w:r w:rsidR="006400DE" w:rsidRPr="006400DE">
        <w:rPr>
          <w:rFonts w:ascii="Times New Roman" w:eastAsia="Arial" w:hAnsi="Times New Roman"/>
          <w:i/>
          <w:iCs/>
          <w:sz w:val="24"/>
          <w:szCs w:val="24"/>
        </w:rPr>
        <w:t>Joint Industry Committee</w:t>
      </w:r>
      <w:r w:rsidR="006400DE" w:rsidRPr="006400DE">
        <w:rPr>
          <w:rFonts w:ascii="Times New Roman" w:eastAsia="Arial" w:hAnsi="Times New Roman"/>
          <w:iCs/>
          <w:sz w:val="24"/>
          <w:szCs w:val="24"/>
        </w:rPr>
        <w:t>, ivi compreso il caso in cui il terzo sia un soggetto terzo autorizzato e indipendente che effettua la misurazione dell’</w:t>
      </w:r>
      <w:r w:rsidR="006400DE" w:rsidRPr="006400DE">
        <w:rPr>
          <w:rFonts w:ascii="Times New Roman" w:eastAsia="Arial" w:hAnsi="Times New Roman"/>
          <w:i/>
          <w:iCs/>
          <w:sz w:val="24"/>
          <w:szCs w:val="24"/>
        </w:rPr>
        <w:t>audience</w:t>
      </w:r>
      <w:r w:rsidR="006400DE" w:rsidRPr="006400DE">
        <w:rPr>
          <w:rFonts w:ascii="Times New Roman" w:eastAsia="Arial" w:hAnsi="Times New Roman"/>
          <w:iCs/>
          <w:sz w:val="24"/>
          <w:szCs w:val="24"/>
        </w:rPr>
        <w:t xml:space="preserve"> in conformità all’articolo 24 del regolamento (UE) 2024/1083;”; </w:t>
      </w:r>
    </w:p>
    <w:p w14:paraId="63EE1449" w14:textId="77777777" w:rsidR="006400DE" w:rsidRPr="006400DE" w:rsidRDefault="006400DE" w:rsidP="00D110C7">
      <w:pPr>
        <w:spacing w:before="0" w:after="120" w:line="300" w:lineRule="atLeast"/>
        <w:rPr>
          <w:rFonts w:ascii="Times New Roman" w:eastAsia="Arial" w:hAnsi="Times New Roman"/>
          <w:iCs/>
          <w:sz w:val="24"/>
          <w:szCs w:val="24"/>
        </w:rPr>
      </w:pPr>
    </w:p>
    <w:p w14:paraId="220DA9DB" w14:textId="77777777" w:rsidR="006400DE" w:rsidRPr="006400DE" w:rsidRDefault="006400DE" w:rsidP="00D110C7">
      <w:pPr>
        <w:spacing w:before="0" w:after="120" w:line="300" w:lineRule="atLeast"/>
        <w:rPr>
          <w:rFonts w:ascii="Times New Roman" w:eastAsia="Arial" w:hAnsi="Times New Roman"/>
          <w:iCs/>
          <w:sz w:val="24"/>
          <w:szCs w:val="24"/>
        </w:rPr>
      </w:pPr>
    </w:p>
    <w:p w14:paraId="723BCAD2" w14:textId="4C13957E" w:rsidR="00DD6F00" w:rsidRPr="006400DE" w:rsidRDefault="006400DE" w:rsidP="00D110C7">
      <w:pPr>
        <w:spacing w:before="0" w:after="120" w:line="300" w:lineRule="atLeast"/>
        <w:rPr>
          <w:rFonts w:ascii="Times New Roman" w:eastAsia="Arial" w:hAnsi="Times New Roman"/>
          <w:i/>
          <w:sz w:val="24"/>
          <w:szCs w:val="24"/>
        </w:rPr>
      </w:pPr>
      <w:r w:rsidRPr="006400DE">
        <w:rPr>
          <w:rFonts w:ascii="Times New Roman" w:eastAsia="Arial" w:hAnsi="Times New Roman"/>
          <w:i/>
          <w:sz w:val="24"/>
          <w:szCs w:val="24"/>
        </w:rPr>
        <w:t xml:space="preserve">e </w:t>
      </w:r>
      <w:r w:rsidR="00C90AA6" w:rsidRPr="006400DE">
        <w:rPr>
          <w:rFonts w:ascii="Times New Roman" w:eastAsia="Arial" w:hAnsi="Times New Roman"/>
          <w:i/>
          <w:sz w:val="24"/>
          <w:szCs w:val="24"/>
        </w:rPr>
        <w:t>con le seguenti osservazioni:</w:t>
      </w:r>
    </w:p>
    <w:p w14:paraId="428E5737" w14:textId="0A8777E0" w:rsidR="00BC4C7E" w:rsidRPr="006400DE" w:rsidRDefault="00CC7EE5" w:rsidP="006400DE">
      <w:pPr>
        <w:pStyle w:val="Paragrafoelenco"/>
        <w:numPr>
          <w:ilvl w:val="0"/>
          <w:numId w:val="10"/>
        </w:numPr>
        <w:spacing w:before="0" w:after="120" w:line="300" w:lineRule="atLeast"/>
        <w:contextualSpacing w:val="0"/>
        <w:rPr>
          <w:rFonts w:ascii="Times New Roman" w:hAnsi="Times New Roman"/>
          <w:sz w:val="24"/>
          <w:szCs w:val="24"/>
        </w:rPr>
      </w:pPr>
      <w:r w:rsidRPr="006400DE">
        <w:rPr>
          <w:rFonts w:ascii="Times New Roman" w:hAnsi="Times New Roman"/>
          <w:sz w:val="24"/>
          <w:szCs w:val="24"/>
        </w:rPr>
        <w:t>si</w:t>
      </w:r>
      <w:r w:rsidR="00B213C8" w:rsidRPr="006400DE">
        <w:rPr>
          <w:rFonts w:ascii="Times New Roman" w:hAnsi="Times New Roman"/>
          <w:sz w:val="24"/>
          <w:szCs w:val="24"/>
        </w:rPr>
        <w:t xml:space="preserve"> consideri la possibilità di</w:t>
      </w:r>
      <w:r w:rsidRPr="006400DE">
        <w:rPr>
          <w:rFonts w:ascii="Times New Roman" w:hAnsi="Times New Roman"/>
          <w:sz w:val="24"/>
          <w:szCs w:val="24"/>
        </w:rPr>
        <w:t xml:space="preserve"> modific</w:t>
      </w:r>
      <w:r w:rsidR="00B213C8" w:rsidRPr="006400DE">
        <w:rPr>
          <w:rFonts w:ascii="Times New Roman" w:hAnsi="Times New Roman"/>
          <w:sz w:val="24"/>
          <w:szCs w:val="24"/>
        </w:rPr>
        <w:t xml:space="preserve">are </w:t>
      </w:r>
      <w:r w:rsidRPr="006400DE">
        <w:rPr>
          <w:rFonts w:ascii="Times New Roman" w:hAnsi="Times New Roman"/>
          <w:sz w:val="24"/>
          <w:szCs w:val="24"/>
        </w:rPr>
        <w:t>l’articolo 1, paragrafo 3, della proposta, che modifica l’articolo 4</w:t>
      </w:r>
      <w:r w:rsidR="00B213C8" w:rsidRPr="006400DE">
        <w:rPr>
          <w:rFonts w:ascii="Times New Roman" w:hAnsi="Times New Roman"/>
          <w:sz w:val="24"/>
          <w:szCs w:val="24"/>
        </w:rPr>
        <w:t xml:space="preserve">, paragrafo 8 del </w:t>
      </w:r>
      <w:r w:rsidR="00B213C8" w:rsidRPr="006400DE">
        <w:rPr>
          <w:rFonts w:ascii="Times New Roman" w:hAnsi="Times New Roman"/>
          <w:i/>
          <w:iCs/>
          <w:sz w:val="24"/>
          <w:szCs w:val="24"/>
        </w:rPr>
        <w:t>Data Act</w:t>
      </w:r>
      <w:r w:rsidR="00B213C8" w:rsidRPr="006400DE">
        <w:rPr>
          <w:rFonts w:ascii="Times New Roman" w:hAnsi="Times New Roman"/>
          <w:sz w:val="24"/>
          <w:szCs w:val="24"/>
        </w:rPr>
        <w:t>, al fine di rafforzare</w:t>
      </w:r>
      <w:r w:rsidRPr="006400DE">
        <w:rPr>
          <w:rFonts w:ascii="Times New Roman" w:hAnsi="Times New Roman"/>
          <w:sz w:val="24"/>
          <w:szCs w:val="24"/>
        </w:rPr>
        <w:t xml:space="preserve"> la possibilità di rifiutare la condivisione di dati</w:t>
      </w:r>
      <w:r w:rsidR="00B213C8" w:rsidRPr="006400DE">
        <w:rPr>
          <w:rFonts w:ascii="Times New Roman" w:hAnsi="Times New Roman"/>
          <w:sz w:val="24"/>
          <w:szCs w:val="24"/>
        </w:rPr>
        <w:t xml:space="preserve"> che potrebbero divulgare segreti commerciali;</w:t>
      </w:r>
    </w:p>
    <w:p w14:paraId="011F93C9" w14:textId="0D4B5CB7" w:rsidR="00BC4C7E" w:rsidRPr="006400DE" w:rsidRDefault="00AB3BBB" w:rsidP="006400DE">
      <w:pPr>
        <w:pStyle w:val="Paragrafoelenco"/>
        <w:numPr>
          <w:ilvl w:val="0"/>
          <w:numId w:val="10"/>
        </w:numPr>
        <w:spacing w:before="0" w:after="120" w:line="300" w:lineRule="atLeast"/>
        <w:ind w:left="709" w:hanging="425"/>
        <w:contextualSpacing w:val="0"/>
        <w:rPr>
          <w:rFonts w:ascii="Times New Roman" w:hAnsi="Times New Roman"/>
          <w:sz w:val="24"/>
          <w:szCs w:val="24"/>
        </w:rPr>
      </w:pPr>
      <w:r w:rsidRPr="006400DE">
        <w:rPr>
          <w:rFonts w:ascii="Times New Roman" w:hAnsi="Times New Roman"/>
          <w:sz w:val="24"/>
          <w:szCs w:val="24"/>
        </w:rPr>
        <w:t>s</w:t>
      </w:r>
      <w:r w:rsidR="00BC4C7E" w:rsidRPr="006400DE">
        <w:rPr>
          <w:rFonts w:ascii="Times New Roman" w:hAnsi="Times New Roman"/>
          <w:sz w:val="24"/>
          <w:szCs w:val="24"/>
        </w:rPr>
        <w:t>’</w:t>
      </w:r>
      <w:r w:rsidRPr="006400DE">
        <w:rPr>
          <w:rFonts w:ascii="Times New Roman" w:hAnsi="Times New Roman"/>
          <w:sz w:val="24"/>
          <w:szCs w:val="24"/>
        </w:rPr>
        <w:t xml:space="preserve">introduca, all’articolo 1, paragrafo 15, una clausola che </w:t>
      </w:r>
      <w:r w:rsidR="00637E25" w:rsidRPr="006400DE">
        <w:rPr>
          <w:rFonts w:ascii="Times New Roman" w:hAnsi="Times New Roman"/>
          <w:sz w:val="24"/>
          <w:szCs w:val="24"/>
        </w:rPr>
        <w:t xml:space="preserve">escluda tutti i contratti preesistenti dall’ambito di applicazione del </w:t>
      </w:r>
      <w:r w:rsidR="00637E25" w:rsidRPr="006400DE">
        <w:rPr>
          <w:rFonts w:ascii="Times New Roman" w:hAnsi="Times New Roman"/>
          <w:i/>
          <w:iCs/>
          <w:sz w:val="24"/>
          <w:szCs w:val="24"/>
        </w:rPr>
        <w:t>Data Act</w:t>
      </w:r>
      <w:r w:rsidR="00637E25" w:rsidRPr="006400DE">
        <w:rPr>
          <w:rFonts w:ascii="Times New Roman" w:hAnsi="Times New Roman"/>
          <w:sz w:val="24"/>
          <w:szCs w:val="24"/>
        </w:rPr>
        <w:t>;</w:t>
      </w:r>
    </w:p>
    <w:p w14:paraId="6F6C617C" w14:textId="5CED39DD" w:rsidR="00BC4C7E" w:rsidRPr="006400DE" w:rsidRDefault="00666502" w:rsidP="006400DE">
      <w:pPr>
        <w:pStyle w:val="Paragrafoelenco"/>
        <w:numPr>
          <w:ilvl w:val="0"/>
          <w:numId w:val="10"/>
        </w:numPr>
        <w:spacing w:before="0" w:after="120" w:line="300" w:lineRule="atLeast"/>
        <w:ind w:left="709" w:hanging="425"/>
        <w:contextualSpacing w:val="0"/>
        <w:rPr>
          <w:rFonts w:ascii="Times New Roman" w:hAnsi="Times New Roman"/>
          <w:sz w:val="24"/>
          <w:szCs w:val="24"/>
        </w:rPr>
      </w:pPr>
      <w:r w:rsidRPr="006400DE">
        <w:rPr>
          <w:rFonts w:ascii="Times New Roman" w:hAnsi="Times New Roman"/>
          <w:sz w:val="24"/>
          <w:szCs w:val="24"/>
        </w:rPr>
        <w:t>si valuti</w:t>
      </w:r>
      <w:r w:rsidR="004F17D9" w:rsidRPr="006400DE">
        <w:rPr>
          <w:rFonts w:ascii="Times New Roman" w:hAnsi="Times New Roman"/>
          <w:sz w:val="24"/>
          <w:szCs w:val="24"/>
        </w:rPr>
        <w:t xml:space="preserve"> inoltre</w:t>
      </w:r>
      <w:r w:rsidRPr="006400DE">
        <w:rPr>
          <w:rFonts w:ascii="Times New Roman" w:hAnsi="Times New Roman"/>
          <w:sz w:val="24"/>
          <w:szCs w:val="24"/>
        </w:rPr>
        <w:t xml:space="preserve"> la possibilità</w:t>
      </w:r>
      <w:r w:rsidR="00994C7F" w:rsidRPr="006400DE">
        <w:rPr>
          <w:rFonts w:ascii="Times New Roman" w:hAnsi="Times New Roman"/>
          <w:sz w:val="24"/>
          <w:szCs w:val="24"/>
        </w:rPr>
        <w:t xml:space="preserve">, al medesimo paragrafo, </w:t>
      </w:r>
      <w:r w:rsidRPr="006400DE">
        <w:rPr>
          <w:rFonts w:ascii="Times New Roman" w:hAnsi="Times New Roman"/>
          <w:sz w:val="24"/>
          <w:szCs w:val="24"/>
        </w:rPr>
        <w:t>di definire</w:t>
      </w:r>
      <w:r w:rsidR="00994C7F" w:rsidRPr="006400DE">
        <w:rPr>
          <w:rFonts w:ascii="Times New Roman" w:hAnsi="Times New Roman"/>
          <w:sz w:val="24"/>
          <w:szCs w:val="24"/>
        </w:rPr>
        <w:t xml:space="preserve"> con maggiore precisione</w:t>
      </w:r>
      <w:r w:rsidRPr="006400DE">
        <w:rPr>
          <w:rFonts w:ascii="Times New Roman" w:hAnsi="Times New Roman"/>
          <w:sz w:val="24"/>
          <w:szCs w:val="24"/>
        </w:rPr>
        <w:t xml:space="preserve"> la definizione di servizi personalizzati</w:t>
      </w:r>
      <w:r w:rsidR="004F17D9" w:rsidRPr="006400DE">
        <w:rPr>
          <w:rFonts w:ascii="Times New Roman" w:hAnsi="Times New Roman"/>
          <w:sz w:val="24"/>
          <w:szCs w:val="24"/>
        </w:rPr>
        <w:t xml:space="preserve"> e il concetto di proporzionalità nelle sanzioni, nonché </w:t>
      </w:r>
      <w:r w:rsidR="00994C7F" w:rsidRPr="006400DE">
        <w:rPr>
          <w:rFonts w:ascii="Times New Roman" w:hAnsi="Times New Roman"/>
          <w:sz w:val="24"/>
          <w:szCs w:val="24"/>
        </w:rPr>
        <w:t xml:space="preserve">di </w:t>
      </w:r>
      <w:r w:rsidR="004F17D9" w:rsidRPr="006400DE">
        <w:rPr>
          <w:rFonts w:ascii="Times New Roman" w:hAnsi="Times New Roman"/>
          <w:sz w:val="24"/>
          <w:szCs w:val="24"/>
        </w:rPr>
        <w:t>estendere anche ai fornitori di servizi IaaS la possibilità di introdurre disposizioni relative a sanzioni proporzionate in caso di risoluzione anticipata di un contratto a durata fissa</w:t>
      </w:r>
      <w:r w:rsidR="00466D1B" w:rsidRPr="006400DE">
        <w:rPr>
          <w:rFonts w:ascii="Times New Roman" w:hAnsi="Times New Roman"/>
          <w:sz w:val="24"/>
          <w:szCs w:val="24"/>
        </w:rPr>
        <w:t>;</w:t>
      </w:r>
    </w:p>
    <w:p w14:paraId="20A15815" w14:textId="32F5A37C" w:rsidR="00BC4C7E" w:rsidRPr="006400DE" w:rsidRDefault="00B812E8" w:rsidP="006400DE">
      <w:pPr>
        <w:pStyle w:val="Paragrafoelenco"/>
        <w:numPr>
          <w:ilvl w:val="0"/>
          <w:numId w:val="10"/>
        </w:numPr>
        <w:spacing w:before="0" w:after="120" w:line="300" w:lineRule="atLeast"/>
        <w:ind w:left="709" w:hanging="425"/>
        <w:contextualSpacing w:val="0"/>
        <w:rPr>
          <w:rFonts w:ascii="Times New Roman" w:hAnsi="Times New Roman"/>
          <w:sz w:val="24"/>
          <w:szCs w:val="24"/>
        </w:rPr>
      </w:pPr>
      <w:r w:rsidRPr="006400DE">
        <w:rPr>
          <w:rFonts w:ascii="Times New Roman" w:hAnsi="Times New Roman"/>
          <w:sz w:val="24"/>
          <w:szCs w:val="24"/>
        </w:rPr>
        <w:t xml:space="preserve">si consideri la possibilità di prevedere una differenziazione </w:t>
      </w:r>
      <w:r w:rsidR="004F17D9" w:rsidRPr="006400DE">
        <w:rPr>
          <w:rFonts w:ascii="Times New Roman" w:hAnsi="Times New Roman"/>
          <w:sz w:val="24"/>
          <w:szCs w:val="24"/>
        </w:rPr>
        <w:t>delle</w:t>
      </w:r>
      <w:r w:rsidRPr="006400DE">
        <w:rPr>
          <w:rFonts w:ascii="Times New Roman" w:hAnsi="Times New Roman"/>
          <w:sz w:val="24"/>
          <w:szCs w:val="24"/>
        </w:rPr>
        <w:t xml:space="preserve"> tariffe per l’accesso ai dati </w:t>
      </w:r>
      <w:r w:rsidR="0039033B" w:rsidRPr="006400DE">
        <w:rPr>
          <w:rFonts w:ascii="Times New Roman" w:hAnsi="Times New Roman"/>
          <w:sz w:val="24"/>
          <w:szCs w:val="24"/>
        </w:rPr>
        <w:t>aperti</w:t>
      </w:r>
      <w:r w:rsidRPr="006400DE">
        <w:rPr>
          <w:rFonts w:ascii="Times New Roman" w:hAnsi="Times New Roman"/>
          <w:sz w:val="24"/>
          <w:szCs w:val="24"/>
        </w:rPr>
        <w:t xml:space="preserve">, di cui al nuovo articolo 32 </w:t>
      </w:r>
      <w:proofErr w:type="spellStart"/>
      <w:r w:rsidRPr="006400DE">
        <w:rPr>
          <w:rFonts w:ascii="Times New Roman" w:hAnsi="Times New Roman"/>
          <w:i/>
          <w:iCs/>
          <w:sz w:val="24"/>
          <w:szCs w:val="24"/>
        </w:rPr>
        <w:t>octodecies</w:t>
      </w:r>
      <w:proofErr w:type="spellEnd"/>
      <w:r w:rsidRPr="006400DE">
        <w:rPr>
          <w:rFonts w:ascii="Times New Roman" w:hAnsi="Times New Roman"/>
          <w:sz w:val="24"/>
          <w:szCs w:val="24"/>
        </w:rPr>
        <w:t xml:space="preserve">, paragrafo 6, del </w:t>
      </w:r>
      <w:r w:rsidRPr="006400DE">
        <w:rPr>
          <w:rFonts w:ascii="Times New Roman" w:hAnsi="Times New Roman"/>
          <w:i/>
          <w:iCs/>
          <w:sz w:val="24"/>
          <w:szCs w:val="24"/>
        </w:rPr>
        <w:t>Data Act</w:t>
      </w:r>
      <w:r w:rsidRPr="006400DE">
        <w:rPr>
          <w:rFonts w:ascii="Times New Roman" w:hAnsi="Times New Roman"/>
          <w:sz w:val="24"/>
          <w:szCs w:val="24"/>
        </w:rPr>
        <w:t>, solamente in base al volume dei dati richiesti</w:t>
      </w:r>
      <w:r w:rsidR="00CE4E99" w:rsidRPr="006400DE">
        <w:rPr>
          <w:rFonts w:ascii="Times New Roman" w:hAnsi="Times New Roman"/>
          <w:sz w:val="24"/>
          <w:szCs w:val="24"/>
        </w:rPr>
        <w:t>;</w:t>
      </w:r>
    </w:p>
    <w:p w14:paraId="3045927C" w14:textId="04C87253" w:rsidR="00BC4C7E" w:rsidRPr="006400DE" w:rsidRDefault="00AE1ECB" w:rsidP="006400DE">
      <w:pPr>
        <w:pStyle w:val="Paragrafoelenco"/>
        <w:numPr>
          <w:ilvl w:val="0"/>
          <w:numId w:val="10"/>
        </w:numPr>
        <w:spacing w:before="0" w:after="120" w:line="300" w:lineRule="atLeast"/>
        <w:ind w:left="709" w:hanging="425"/>
        <w:contextualSpacing w:val="0"/>
        <w:rPr>
          <w:rFonts w:ascii="Times New Roman" w:hAnsi="Times New Roman"/>
          <w:sz w:val="24"/>
          <w:szCs w:val="24"/>
        </w:rPr>
      </w:pPr>
      <w:r w:rsidRPr="006400DE">
        <w:rPr>
          <w:rFonts w:ascii="Times New Roman" w:hAnsi="Times New Roman"/>
          <w:sz w:val="24"/>
          <w:szCs w:val="24"/>
        </w:rPr>
        <w:t>si</w:t>
      </w:r>
      <w:r w:rsidR="00BC4C7E" w:rsidRPr="006400DE">
        <w:rPr>
          <w:rFonts w:ascii="Times New Roman" w:hAnsi="Times New Roman"/>
          <w:sz w:val="24"/>
          <w:szCs w:val="24"/>
        </w:rPr>
        <w:t>ano</w:t>
      </w:r>
      <w:r w:rsidRPr="006400DE">
        <w:rPr>
          <w:rFonts w:ascii="Times New Roman" w:hAnsi="Times New Roman"/>
          <w:sz w:val="24"/>
          <w:szCs w:val="24"/>
        </w:rPr>
        <w:t xml:space="preserve"> precis</w:t>
      </w:r>
      <w:r w:rsidR="00BC4C7E" w:rsidRPr="006400DE">
        <w:rPr>
          <w:rFonts w:ascii="Times New Roman" w:hAnsi="Times New Roman"/>
          <w:sz w:val="24"/>
          <w:szCs w:val="24"/>
        </w:rPr>
        <w:t>ati</w:t>
      </w:r>
      <w:r w:rsidRPr="006400DE">
        <w:rPr>
          <w:rFonts w:ascii="Times New Roman" w:hAnsi="Times New Roman"/>
          <w:sz w:val="24"/>
          <w:szCs w:val="24"/>
        </w:rPr>
        <w:t xml:space="preserve">, in relazione alla modifica della definizione di dato personale ai sensi del GDPR di cui l’articolo 3, paragrafo 1, della proposta, </w:t>
      </w:r>
      <w:r w:rsidR="00D60090" w:rsidRPr="006400DE">
        <w:rPr>
          <w:rFonts w:ascii="Times New Roman" w:hAnsi="Times New Roman"/>
          <w:sz w:val="24"/>
          <w:szCs w:val="24"/>
        </w:rPr>
        <w:t>i parametri utili a valutare il concetto di ragionevolezza e le responsabilità di tale valutazione;</w:t>
      </w:r>
    </w:p>
    <w:p w14:paraId="1351E37B" w14:textId="6D917368" w:rsidR="00BC4C7E" w:rsidRPr="006400DE" w:rsidRDefault="00C879B6" w:rsidP="006400DE">
      <w:pPr>
        <w:pStyle w:val="Paragrafoelenco"/>
        <w:numPr>
          <w:ilvl w:val="0"/>
          <w:numId w:val="10"/>
        </w:numPr>
        <w:spacing w:before="0" w:after="120" w:line="300" w:lineRule="atLeast"/>
        <w:ind w:left="709" w:hanging="425"/>
        <w:contextualSpacing w:val="0"/>
        <w:rPr>
          <w:rFonts w:ascii="Times New Roman" w:hAnsi="Times New Roman"/>
          <w:sz w:val="24"/>
          <w:szCs w:val="24"/>
        </w:rPr>
      </w:pPr>
      <w:r w:rsidRPr="006400DE">
        <w:rPr>
          <w:rFonts w:ascii="Times New Roman" w:hAnsi="Times New Roman"/>
          <w:sz w:val="24"/>
          <w:szCs w:val="24"/>
        </w:rPr>
        <w:t>si valuti l’opportunità di chiarire ulteriormente il rapporto tra attività di ricerca scientifica e finalità commerciali, individuando condizioni e garanzie adeguate che consentano il riutilizzo dei dati per attività innovative senza compromettere il livello di tutela riconosciuto agli interessati;</w:t>
      </w:r>
    </w:p>
    <w:p w14:paraId="298D1F2F" w14:textId="6DFA324A" w:rsidR="00BC4C7E" w:rsidRPr="006400DE" w:rsidRDefault="00421617" w:rsidP="006400DE">
      <w:pPr>
        <w:pStyle w:val="Paragrafoelenco"/>
        <w:numPr>
          <w:ilvl w:val="0"/>
          <w:numId w:val="10"/>
        </w:numPr>
        <w:spacing w:before="0" w:after="120" w:line="300" w:lineRule="atLeast"/>
        <w:ind w:left="709" w:hanging="425"/>
        <w:contextualSpacing w:val="0"/>
        <w:rPr>
          <w:rFonts w:ascii="Times New Roman" w:hAnsi="Times New Roman"/>
          <w:sz w:val="24"/>
          <w:szCs w:val="24"/>
        </w:rPr>
      </w:pPr>
      <w:r w:rsidRPr="006400DE">
        <w:rPr>
          <w:rFonts w:ascii="Times New Roman" w:hAnsi="Times New Roman"/>
          <w:sz w:val="24"/>
          <w:szCs w:val="24"/>
        </w:rPr>
        <w:t>si consideri l’estensione dell’esenzione di cui l’articolo 3, paragrafo 2, della proposta anche alla ricerca in ambito tecnologico quando il riutilizzo dei dati è orientato al miglioramento dei prodotti o dei servizi del titolare;</w:t>
      </w:r>
    </w:p>
    <w:p w14:paraId="06A20CA7" w14:textId="77777777" w:rsidR="00444218" w:rsidRPr="006400DE" w:rsidRDefault="00D552C4" w:rsidP="006400DE">
      <w:pPr>
        <w:pStyle w:val="Paragrafoelenco"/>
        <w:numPr>
          <w:ilvl w:val="0"/>
          <w:numId w:val="10"/>
        </w:numPr>
        <w:spacing w:before="0" w:after="120" w:line="300" w:lineRule="atLeast"/>
        <w:ind w:left="709" w:hanging="425"/>
        <w:contextualSpacing w:val="0"/>
        <w:rPr>
          <w:rFonts w:ascii="Times New Roman" w:hAnsi="Times New Roman"/>
          <w:sz w:val="24"/>
          <w:szCs w:val="24"/>
        </w:rPr>
      </w:pPr>
      <w:r w:rsidRPr="006400DE">
        <w:rPr>
          <w:rFonts w:ascii="Times New Roman" w:hAnsi="Times New Roman"/>
          <w:sz w:val="24"/>
          <w:szCs w:val="24"/>
        </w:rPr>
        <w:t xml:space="preserve">si valuti la possibilità di tenere conto, per la precisazione dei parametri di valutazione della sproporzione rispetto le modifiche previste dall’articolo 3, paragrafo 3, dello stato di evoluzione della tecnologia e dell’impatto sugli interessati, nonché </w:t>
      </w:r>
      <w:r w:rsidR="00CD11D5" w:rsidRPr="006400DE">
        <w:rPr>
          <w:rFonts w:ascii="Times New Roman" w:hAnsi="Times New Roman"/>
          <w:sz w:val="24"/>
          <w:szCs w:val="24"/>
        </w:rPr>
        <w:t xml:space="preserve">di </w:t>
      </w:r>
      <w:r w:rsidRPr="006400DE">
        <w:rPr>
          <w:rFonts w:ascii="Times New Roman" w:hAnsi="Times New Roman"/>
          <w:sz w:val="24"/>
          <w:szCs w:val="24"/>
        </w:rPr>
        <w:t xml:space="preserve">garantire </w:t>
      </w:r>
      <w:r w:rsidR="00CD11D5" w:rsidRPr="006400DE">
        <w:rPr>
          <w:rFonts w:ascii="Times New Roman" w:hAnsi="Times New Roman"/>
          <w:sz w:val="24"/>
          <w:szCs w:val="24"/>
        </w:rPr>
        <w:t>in maniera effettiva l’esercizio de</w:t>
      </w:r>
      <w:r w:rsidRPr="006400DE">
        <w:rPr>
          <w:rFonts w:ascii="Times New Roman" w:hAnsi="Times New Roman"/>
          <w:sz w:val="24"/>
          <w:szCs w:val="24"/>
        </w:rPr>
        <w:t>i diritti</w:t>
      </w:r>
      <w:r w:rsidR="00CD11D5" w:rsidRPr="006400DE">
        <w:rPr>
          <w:rFonts w:ascii="Times New Roman" w:hAnsi="Times New Roman"/>
          <w:sz w:val="24"/>
          <w:szCs w:val="24"/>
        </w:rPr>
        <w:t xml:space="preserve"> degli utenti</w:t>
      </w:r>
      <w:r w:rsidRPr="006400DE">
        <w:rPr>
          <w:rFonts w:ascii="Times New Roman" w:hAnsi="Times New Roman"/>
          <w:sz w:val="24"/>
          <w:szCs w:val="24"/>
        </w:rPr>
        <w:t xml:space="preserve"> previsti dal GDPR anche nel contesto dell’addestramento dell’IA;</w:t>
      </w:r>
    </w:p>
    <w:p w14:paraId="1DF302DF" w14:textId="5544B8E6" w:rsidR="00BC4C7E" w:rsidRPr="006400DE" w:rsidRDefault="00B92C90" w:rsidP="006400DE">
      <w:pPr>
        <w:pStyle w:val="Paragrafoelenco"/>
        <w:numPr>
          <w:ilvl w:val="0"/>
          <w:numId w:val="10"/>
        </w:numPr>
        <w:spacing w:before="0" w:after="120" w:line="300" w:lineRule="atLeast"/>
        <w:ind w:left="709" w:hanging="425"/>
        <w:contextualSpacing w:val="0"/>
        <w:rPr>
          <w:rFonts w:ascii="Times New Roman" w:hAnsi="Times New Roman"/>
          <w:sz w:val="24"/>
          <w:szCs w:val="24"/>
        </w:rPr>
      </w:pPr>
      <w:r w:rsidRPr="006400DE">
        <w:rPr>
          <w:rFonts w:ascii="Times New Roman" w:hAnsi="Times New Roman"/>
          <w:sz w:val="24"/>
          <w:szCs w:val="24"/>
        </w:rPr>
        <w:t>al fine d</w:t>
      </w:r>
      <w:r w:rsidR="00BC4C7E" w:rsidRPr="006400DE">
        <w:rPr>
          <w:rFonts w:ascii="Times New Roman" w:hAnsi="Times New Roman"/>
          <w:sz w:val="24"/>
          <w:szCs w:val="24"/>
        </w:rPr>
        <w:t>’</w:t>
      </w:r>
      <w:r w:rsidRPr="006400DE">
        <w:rPr>
          <w:rFonts w:ascii="Times New Roman" w:hAnsi="Times New Roman"/>
          <w:sz w:val="24"/>
          <w:szCs w:val="24"/>
        </w:rPr>
        <w:t xml:space="preserve">identificare il carattere abusivo delle istanze di accesso, si </w:t>
      </w:r>
      <w:r w:rsidR="00336A39" w:rsidRPr="006400DE">
        <w:rPr>
          <w:rFonts w:ascii="Times New Roman" w:eastAsia="Arial" w:hAnsi="Times New Roman"/>
          <w:sz w:val="24"/>
          <w:szCs w:val="24"/>
        </w:rPr>
        <w:t>sostituisca il criterio di perseguimento di finalità diverse dalla protezione dei dati</w:t>
      </w:r>
      <w:r w:rsidRPr="006400DE">
        <w:rPr>
          <w:rFonts w:ascii="Times New Roman" w:eastAsia="Arial" w:hAnsi="Times New Roman"/>
          <w:sz w:val="24"/>
          <w:szCs w:val="24"/>
        </w:rPr>
        <w:t>, i</w:t>
      </w:r>
      <w:r w:rsidR="00336A39" w:rsidRPr="006400DE">
        <w:rPr>
          <w:rFonts w:ascii="Times New Roman" w:eastAsia="Arial" w:hAnsi="Times New Roman"/>
          <w:sz w:val="24"/>
          <w:szCs w:val="24"/>
        </w:rPr>
        <w:t>ntrodotto dall’articolo 3, paragrafo 4, della proposta, con un requisito maggiormente idoneo a delineare correttamente la connotazione abusiva;</w:t>
      </w:r>
    </w:p>
    <w:p w14:paraId="0D3BCED2" w14:textId="321FD66C" w:rsidR="00BC4C7E" w:rsidRPr="006400DE" w:rsidRDefault="00C879B6" w:rsidP="006400DE">
      <w:pPr>
        <w:pStyle w:val="Paragrafoelenco"/>
        <w:numPr>
          <w:ilvl w:val="0"/>
          <w:numId w:val="10"/>
        </w:numPr>
        <w:spacing w:before="0" w:after="120" w:line="300" w:lineRule="atLeast"/>
        <w:ind w:left="709" w:hanging="425"/>
        <w:contextualSpacing w:val="0"/>
        <w:rPr>
          <w:rFonts w:ascii="Times New Roman" w:hAnsi="Times New Roman"/>
          <w:sz w:val="24"/>
          <w:szCs w:val="24"/>
        </w:rPr>
      </w:pPr>
      <w:r w:rsidRPr="006400DE">
        <w:rPr>
          <w:rFonts w:ascii="Times New Roman" w:hAnsi="Times New Roman"/>
          <w:sz w:val="24"/>
          <w:szCs w:val="24"/>
        </w:rPr>
        <w:t>si consideri l’opportunità di semplificare ulteriormente gli obblighi informativi previsti dall’articolo 13 del GDPR, anche attraverso modelli multilivello che consentano di fornire in prima istanza le informazioni essenziali, rinviando a livelli successivi per gli approfondimenti richiesti dagli interessati;</w:t>
      </w:r>
    </w:p>
    <w:p w14:paraId="2149E0C8" w14:textId="21275393" w:rsidR="00BC4C7E" w:rsidRPr="006400DE" w:rsidRDefault="006F3E63" w:rsidP="006400DE">
      <w:pPr>
        <w:pStyle w:val="Paragrafoelenco"/>
        <w:numPr>
          <w:ilvl w:val="0"/>
          <w:numId w:val="10"/>
        </w:numPr>
        <w:spacing w:before="0" w:after="120" w:line="300" w:lineRule="atLeast"/>
        <w:ind w:left="709" w:hanging="425"/>
        <w:contextualSpacing w:val="0"/>
        <w:rPr>
          <w:rFonts w:ascii="Times New Roman" w:hAnsi="Times New Roman"/>
          <w:sz w:val="24"/>
          <w:szCs w:val="24"/>
        </w:rPr>
      </w:pPr>
      <w:r w:rsidRPr="006400DE">
        <w:rPr>
          <w:rFonts w:ascii="Times New Roman" w:hAnsi="Times New Roman"/>
          <w:sz w:val="24"/>
          <w:szCs w:val="24"/>
        </w:rPr>
        <w:t xml:space="preserve">si </w:t>
      </w:r>
      <w:r w:rsidR="00BC4C7E" w:rsidRPr="006400DE">
        <w:rPr>
          <w:rFonts w:ascii="Times New Roman" w:hAnsi="Times New Roman"/>
          <w:sz w:val="24"/>
          <w:szCs w:val="24"/>
        </w:rPr>
        <w:t>valuti</w:t>
      </w:r>
      <w:r w:rsidRPr="006400DE">
        <w:rPr>
          <w:rFonts w:ascii="Times New Roman" w:hAnsi="Times New Roman"/>
          <w:sz w:val="24"/>
          <w:szCs w:val="24"/>
        </w:rPr>
        <w:t xml:space="preserve"> l’opportunità di ricondurre l’inciso aggiunto all’articolo 22, paragrafo 1, lettera a), del GDPR</w:t>
      </w:r>
      <w:r w:rsidR="00BF5FCD" w:rsidRPr="006400DE">
        <w:rPr>
          <w:rFonts w:ascii="Times New Roman" w:hAnsi="Times New Roman"/>
          <w:sz w:val="24"/>
          <w:szCs w:val="24"/>
        </w:rPr>
        <w:t>,</w:t>
      </w:r>
      <w:r w:rsidRPr="006400DE">
        <w:rPr>
          <w:rFonts w:ascii="Times New Roman" w:hAnsi="Times New Roman"/>
          <w:sz w:val="24"/>
          <w:szCs w:val="24"/>
        </w:rPr>
        <w:t xml:space="preserve"> dall’articolo 3, paragrafo 7, della proposta ai considerando della </w:t>
      </w:r>
      <w:r w:rsidR="00BF5FCD" w:rsidRPr="006400DE">
        <w:rPr>
          <w:rFonts w:ascii="Times New Roman" w:hAnsi="Times New Roman"/>
          <w:sz w:val="24"/>
          <w:szCs w:val="24"/>
        </w:rPr>
        <w:t>stessa</w:t>
      </w:r>
      <w:r w:rsidRPr="006400DE">
        <w:rPr>
          <w:rFonts w:ascii="Times New Roman" w:hAnsi="Times New Roman"/>
          <w:sz w:val="24"/>
          <w:szCs w:val="24"/>
        </w:rPr>
        <w:t xml:space="preserve"> in modo da preservarne la valenza interpretativa senza attribuirgli una efficacia normativa vincolante</w:t>
      </w:r>
      <w:r w:rsidR="00044BE2" w:rsidRPr="006400DE">
        <w:rPr>
          <w:rFonts w:ascii="Times New Roman" w:hAnsi="Times New Roman"/>
          <w:sz w:val="24"/>
          <w:szCs w:val="24"/>
        </w:rPr>
        <w:t>. In alternativa, si esamini l’opzio</w:t>
      </w:r>
      <w:r w:rsidR="00444218" w:rsidRPr="006400DE">
        <w:rPr>
          <w:rFonts w:ascii="Times New Roman" w:hAnsi="Times New Roman"/>
          <w:sz w:val="24"/>
          <w:szCs w:val="24"/>
        </w:rPr>
        <w:t>n</w:t>
      </w:r>
      <w:r w:rsidR="00044BE2" w:rsidRPr="006400DE">
        <w:rPr>
          <w:rFonts w:ascii="Times New Roman" w:hAnsi="Times New Roman"/>
          <w:sz w:val="24"/>
          <w:szCs w:val="24"/>
        </w:rPr>
        <w:t>e di ripristinare la struttura vigente dell’articolo 22</w:t>
      </w:r>
      <w:r w:rsidR="00444218" w:rsidRPr="006400DE">
        <w:rPr>
          <w:rFonts w:ascii="Times New Roman" w:hAnsi="Times New Roman"/>
          <w:sz w:val="24"/>
          <w:szCs w:val="24"/>
        </w:rPr>
        <w:t>;</w:t>
      </w:r>
    </w:p>
    <w:p w14:paraId="254C3C5D" w14:textId="4871DAE3" w:rsidR="00BC4C7E" w:rsidRPr="006400DE" w:rsidRDefault="007D184E" w:rsidP="006400DE">
      <w:pPr>
        <w:pStyle w:val="Paragrafoelenco"/>
        <w:numPr>
          <w:ilvl w:val="0"/>
          <w:numId w:val="10"/>
        </w:numPr>
        <w:spacing w:before="0" w:after="120" w:line="300" w:lineRule="atLeast"/>
        <w:ind w:left="709" w:hanging="425"/>
        <w:contextualSpacing w:val="0"/>
        <w:rPr>
          <w:rFonts w:ascii="Times New Roman" w:hAnsi="Times New Roman"/>
          <w:sz w:val="24"/>
          <w:szCs w:val="24"/>
        </w:rPr>
      </w:pPr>
      <w:r w:rsidRPr="006400DE">
        <w:rPr>
          <w:rFonts w:ascii="Times New Roman" w:hAnsi="Times New Roman"/>
          <w:sz w:val="24"/>
          <w:szCs w:val="24"/>
        </w:rPr>
        <w:t xml:space="preserve">si valuti la possibilità di prevedere, tra le esenzioni dall’obbligo di consenso per il trattamento dei dati personali delle apparecchiature terminali di cui l’articolo 88 </w:t>
      </w:r>
      <w:r w:rsidRPr="006400DE">
        <w:rPr>
          <w:rFonts w:ascii="Times New Roman" w:hAnsi="Times New Roman"/>
          <w:i/>
          <w:iCs/>
          <w:sz w:val="24"/>
          <w:szCs w:val="24"/>
        </w:rPr>
        <w:t>bis</w:t>
      </w:r>
      <w:r w:rsidRPr="006400DE">
        <w:rPr>
          <w:rFonts w:ascii="Times New Roman" w:hAnsi="Times New Roman"/>
          <w:sz w:val="24"/>
          <w:szCs w:val="24"/>
        </w:rPr>
        <w:t xml:space="preserve">, paragrafo 3, l'uso di </w:t>
      </w:r>
      <w:r w:rsidRPr="006400DE">
        <w:rPr>
          <w:rFonts w:ascii="Times New Roman" w:hAnsi="Times New Roman"/>
          <w:i/>
          <w:iCs/>
          <w:sz w:val="24"/>
          <w:szCs w:val="24"/>
        </w:rPr>
        <w:t>cookie</w:t>
      </w:r>
      <w:r w:rsidRPr="006400DE">
        <w:rPr>
          <w:rFonts w:ascii="Times New Roman" w:hAnsi="Times New Roman"/>
          <w:sz w:val="24"/>
          <w:szCs w:val="24"/>
        </w:rPr>
        <w:t xml:space="preserve"> di prime parti e tecnologie analoghe al fine esclusivo di generare statistiche aggregate e anonime sull'utilizzo del servizio, a condizione del rispetto di adeguate garanzie per gli utenti;</w:t>
      </w:r>
    </w:p>
    <w:p w14:paraId="06F87CA2" w14:textId="49E038DD" w:rsidR="00BC4C7E" w:rsidRPr="006400DE" w:rsidRDefault="00C421E6" w:rsidP="006400DE">
      <w:pPr>
        <w:pStyle w:val="Paragrafoelenco"/>
        <w:numPr>
          <w:ilvl w:val="0"/>
          <w:numId w:val="10"/>
        </w:numPr>
        <w:spacing w:before="0" w:after="120" w:line="300" w:lineRule="atLeast"/>
        <w:ind w:left="709" w:hanging="425"/>
        <w:contextualSpacing w:val="0"/>
        <w:rPr>
          <w:rFonts w:ascii="Times New Roman" w:hAnsi="Times New Roman"/>
          <w:sz w:val="24"/>
          <w:szCs w:val="24"/>
        </w:rPr>
      </w:pPr>
      <w:proofErr w:type="spellStart"/>
      <w:r w:rsidRPr="006400DE">
        <w:rPr>
          <w:rFonts w:ascii="Times New Roman" w:hAnsi="Times New Roman"/>
          <w:sz w:val="24"/>
          <w:szCs w:val="24"/>
        </w:rPr>
        <w:t>si</w:t>
      </w:r>
      <w:proofErr w:type="spellEnd"/>
      <w:r w:rsidRPr="006400DE">
        <w:rPr>
          <w:rFonts w:ascii="Times New Roman" w:hAnsi="Times New Roman"/>
          <w:sz w:val="24"/>
          <w:szCs w:val="24"/>
        </w:rPr>
        <w:t xml:space="preserve"> ridefinisca la prevista esenzione per motivi di sicurezza, di cui </w:t>
      </w:r>
      <w:r w:rsidR="009D7807" w:rsidRPr="006400DE">
        <w:rPr>
          <w:rFonts w:ascii="Times New Roman" w:hAnsi="Times New Roman"/>
          <w:sz w:val="24"/>
          <w:szCs w:val="24"/>
        </w:rPr>
        <w:t>alla</w:t>
      </w:r>
      <w:r w:rsidRPr="006400DE">
        <w:rPr>
          <w:rFonts w:ascii="Times New Roman" w:hAnsi="Times New Roman"/>
          <w:sz w:val="24"/>
          <w:szCs w:val="24"/>
        </w:rPr>
        <w:t xml:space="preserve"> lettera d), per includere casi d’uso utili per raggiungere </w:t>
      </w:r>
      <w:r w:rsidR="00113AFE" w:rsidRPr="006400DE">
        <w:rPr>
          <w:rFonts w:ascii="Times New Roman" w:hAnsi="Times New Roman"/>
          <w:sz w:val="24"/>
          <w:szCs w:val="24"/>
        </w:rPr>
        <w:t>la</w:t>
      </w:r>
      <w:r w:rsidRPr="006400DE">
        <w:rPr>
          <w:rFonts w:ascii="Times New Roman" w:hAnsi="Times New Roman"/>
          <w:sz w:val="24"/>
          <w:szCs w:val="24"/>
        </w:rPr>
        <w:t xml:space="preserve"> sicurezza informatica, come la protezione dalle frodi e gli aggiornamenti di sicurezza;</w:t>
      </w:r>
    </w:p>
    <w:p w14:paraId="4AD41241" w14:textId="064E67DC" w:rsidR="00C421E6" w:rsidRPr="006400DE" w:rsidRDefault="00BC4C7E" w:rsidP="006400DE">
      <w:pPr>
        <w:pStyle w:val="Paragrafoelenco"/>
        <w:numPr>
          <w:ilvl w:val="0"/>
          <w:numId w:val="10"/>
        </w:numPr>
        <w:spacing w:before="0" w:after="120" w:line="300" w:lineRule="atLeast"/>
        <w:ind w:left="709" w:hanging="425"/>
        <w:contextualSpacing w:val="0"/>
        <w:rPr>
          <w:rFonts w:ascii="Times New Roman" w:hAnsi="Times New Roman"/>
          <w:sz w:val="24"/>
          <w:szCs w:val="24"/>
        </w:rPr>
      </w:pPr>
      <w:r w:rsidRPr="006400DE">
        <w:rPr>
          <w:rFonts w:ascii="Times New Roman" w:hAnsi="Times New Roman"/>
          <w:sz w:val="24"/>
          <w:szCs w:val="24"/>
        </w:rPr>
        <w:t xml:space="preserve">con riferimento al regime dei trasferimenti internazionali di dati personali, si valuti l’opportunità di </w:t>
      </w:r>
      <w:r w:rsidR="009D7807" w:rsidRPr="006400DE">
        <w:rPr>
          <w:rFonts w:ascii="Times New Roman" w:hAnsi="Times New Roman"/>
          <w:sz w:val="24"/>
          <w:szCs w:val="24"/>
        </w:rPr>
        <w:t>prevedere</w:t>
      </w:r>
      <w:r w:rsidR="00C421E6" w:rsidRPr="006400DE">
        <w:rPr>
          <w:rFonts w:ascii="Times New Roman" w:hAnsi="Times New Roman"/>
          <w:sz w:val="24"/>
          <w:szCs w:val="24"/>
        </w:rPr>
        <w:t xml:space="preserve"> eventuali modifiche al Capo V del GDPR, relativo ai trasferimenti di dati personali verso paesi terzi o organizzazioni internazionali, al fine di:</w:t>
      </w:r>
    </w:p>
    <w:p w14:paraId="2EC3BD58" w14:textId="77777777" w:rsidR="009D7807" w:rsidRPr="006400DE" w:rsidRDefault="009D7807" w:rsidP="00D110C7">
      <w:pPr>
        <w:pStyle w:val="Paragrafoelenco"/>
        <w:numPr>
          <w:ilvl w:val="0"/>
          <w:numId w:val="4"/>
        </w:numPr>
        <w:spacing w:before="0" w:after="120" w:line="300" w:lineRule="atLeast"/>
        <w:contextualSpacing w:val="0"/>
        <w:rPr>
          <w:rFonts w:ascii="Times New Roman" w:hAnsi="Times New Roman"/>
          <w:sz w:val="24"/>
          <w:szCs w:val="24"/>
        </w:rPr>
      </w:pPr>
      <w:r w:rsidRPr="006400DE">
        <w:rPr>
          <w:rFonts w:ascii="Times New Roman" w:hAnsi="Times New Roman"/>
          <w:sz w:val="24"/>
          <w:szCs w:val="24"/>
        </w:rPr>
        <w:t>garantire un maggiore coinvolgimento dei portatori di interesse nella valutazione di adeguatezza dei regimi di protezione dei dati personali di cui all’articolo 45;</w:t>
      </w:r>
    </w:p>
    <w:p w14:paraId="4C3B72D3" w14:textId="184B283F" w:rsidR="00BC4C7E" w:rsidRPr="006400DE" w:rsidRDefault="00C421E6" w:rsidP="00BC4C7E">
      <w:pPr>
        <w:pStyle w:val="Paragrafoelenco"/>
        <w:numPr>
          <w:ilvl w:val="0"/>
          <w:numId w:val="4"/>
        </w:numPr>
        <w:spacing w:before="0" w:after="120" w:line="300" w:lineRule="atLeast"/>
        <w:contextualSpacing w:val="0"/>
        <w:rPr>
          <w:rFonts w:ascii="Times New Roman" w:hAnsi="Times New Roman"/>
          <w:sz w:val="24"/>
          <w:szCs w:val="24"/>
        </w:rPr>
      </w:pPr>
      <w:r w:rsidRPr="006400DE">
        <w:rPr>
          <w:rFonts w:ascii="Times New Roman" w:hAnsi="Times New Roman"/>
          <w:sz w:val="24"/>
          <w:szCs w:val="24"/>
        </w:rPr>
        <w:t xml:space="preserve">fornire maggiore certezza giuridica in relazione all’utilizzo delle garanzie adeguate </w:t>
      </w:r>
      <w:r w:rsidR="00E0323E" w:rsidRPr="006400DE">
        <w:rPr>
          <w:rFonts w:ascii="Times New Roman" w:hAnsi="Times New Roman"/>
          <w:sz w:val="24"/>
          <w:szCs w:val="24"/>
        </w:rPr>
        <w:t>al</w:t>
      </w:r>
      <w:r w:rsidRPr="006400DE">
        <w:rPr>
          <w:rFonts w:ascii="Times New Roman" w:hAnsi="Times New Roman"/>
          <w:sz w:val="24"/>
          <w:szCs w:val="24"/>
        </w:rPr>
        <w:t xml:space="preserve"> trasferimento in assenza di una decisione di adeguatezza di cui all’articolo 46;</w:t>
      </w:r>
    </w:p>
    <w:p w14:paraId="4144B6B8" w14:textId="012AC73F" w:rsidR="00BC4C7E" w:rsidRPr="006400DE" w:rsidRDefault="00587DD8" w:rsidP="006400DE">
      <w:pPr>
        <w:pStyle w:val="Paragrafoelenco"/>
        <w:numPr>
          <w:ilvl w:val="0"/>
          <w:numId w:val="10"/>
        </w:numPr>
        <w:spacing w:before="0" w:after="120" w:line="300" w:lineRule="atLeast"/>
        <w:ind w:left="851" w:hanging="567"/>
        <w:rPr>
          <w:rFonts w:ascii="Times New Roman" w:hAnsi="Times New Roman"/>
          <w:sz w:val="24"/>
          <w:szCs w:val="24"/>
        </w:rPr>
      </w:pPr>
      <w:r w:rsidRPr="006400DE">
        <w:rPr>
          <w:rFonts w:ascii="Times New Roman" w:eastAsia="Arial" w:hAnsi="Times New Roman"/>
          <w:sz w:val="24"/>
          <w:szCs w:val="24"/>
        </w:rPr>
        <w:t>si valuti la possibilità di prevedere un punto informativo unico europeo gestito da</w:t>
      </w:r>
      <w:r w:rsidR="00D91272" w:rsidRPr="006400DE">
        <w:rPr>
          <w:rFonts w:ascii="Times New Roman" w:eastAsia="Arial" w:hAnsi="Times New Roman"/>
          <w:sz w:val="24"/>
          <w:szCs w:val="24"/>
        </w:rPr>
        <w:t xml:space="preserve">ll’Agenzia dell’Unione europea per la </w:t>
      </w:r>
      <w:proofErr w:type="spellStart"/>
      <w:r w:rsidR="00D91272" w:rsidRPr="006400DE">
        <w:rPr>
          <w:rFonts w:ascii="Times New Roman" w:eastAsia="Arial" w:hAnsi="Times New Roman"/>
          <w:sz w:val="24"/>
          <w:szCs w:val="24"/>
        </w:rPr>
        <w:t>cibersicurezza</w:t>
      </w:r>
      <w:proofErr w:type="spellEnd"/>
      <w:r w:rsidR="00D91272" w:rsidRPr="006400DE">
        <w:rPr>
          <w:rFonts w:ascii="Times New Roman" w:eastAsia="Arial" w:hAnsi="Times New Roman"/>
          <w:sz w:val="24"/>
          <w:szCs w:val="24"/>
        </w:rPr>
        <w:t xml:space="preserve"> (</w:t>
      </w:r>
      <w:r w:rsidRPr="006400DE">
        <w:rPr>
          <w:rFonts w:ascii="Times New Roman" w:eastAsia="Arial" w:hAnsi="Times New Roman"/>
          <w:sz w:val="24"/>
          <w:szCs w:val="24"/>
        </w:rPr>
        <w:t>ENISA</w:t>
      </w:r>
      <w:r w:rsidR="00D91272" w:rsidRPr="006400DE">
        <w:rPr>
          <w:rFonts w:ascii="Times New Roman" w:eastAsia="Arial" w:hAnsi="Times New Roman"/>
          <w:sz w:val="24"/>
          <w:szCs w:val="24"/>
        </w:rPr>
        <w:t>)</w:t>
      </w:r>
      <w:r w:rsidR="00962CB6" w:rsidRPr="006400DE">
        <w:rPr>
          <w:rFonts w:ascii="Times New Roman" w:eastAsia="Arial" w:hAnsi="Times New Roman"/>
          <w:sz w:val="24"/>
          <w:szCs w:val="24"/>
        </w:rPr>
        <w:t xml:space="preserve"> </w:t>
      </w:r>
      <w:r w:rsidRPr="006400DE">
        <w:rPr>
          <w:rFonts w:ascii="Times New Roman" w:eastAsia="Arial" w:hAnsi="Times New Roman"/>
          <w:sz w:val="24"/>
          <w:szCs w:val="24"/>
        </w:rPr>
        <w:t>anziché un punto di accesso unico</w:t>
      </w:r>
      <w:r w:rsidR="00962CB6" w:rsidRPr="006400DE">
        <w:rPr>
          <w:rFonts w:ascii="Times New Roman" w:eastAsia="Arial" w:hAnsi="Times New Roman"/>
          <w:sz w:val="24"/>
          <w:szCs w:val="24"/>
        </w:rPr>
        <w:t xml:space="preserve"> per la segnalazione degli incidenti, come previsto dall’articolo 6, paragrafo 1, della proposta, al fine di mappare gli obblighi di notifica e indirizzare i soggetti verso i referenti nazionali competenti, senza modificare le competenze degli Stati membri o raccogliere dati;</w:t>
      </w:r>
    </w:p>
    <w:p w14:paraId="4B6793C3" w14:textId="77777777" w:rsidR="001E5AF5" w:rsidRPr="006400DE" w:rsidRDefault="00BC4C7E" w:rsidP="006400DE">
      <w:pPr>
        <w:pStyle w:val="Paragrafoelenco"/>
        <w:numPr>
          <w:ilvl w:val="0"/>
          <w:numId w:val="10"/>
        </w:numPr>
        <w:spacing w:before="0" w:after="120" w:line="300" w:lineRule="atLeast"/>
        <w:ind w:left="851" w:hanging="567"/>
        <w:rPr>
          <w:rFonts w:ascii="Times New Roman" w:hAnsi="Times New Roman"/>
          <w:sz w:val="24"/>
          <w:szCs w:val="24"/>
        </w:rPr>
      </w:pPr>
      <w:r w:rsidRPr="006400DE">
        <w:rPr>
          <w:rFonts w:ascii="Times New Roman" w:eastAsia="Arial" w:hAnsi="Times New Roman"/>
          <w:sz w:val="24"/>
          <w:szCs w:val="24"/>
        </w:rPr>
        <w:t>si esamini la possibilità di allineare le tempistiche di segnalazione degli incidenti, stabilire una soglia armonizzata per identificare quelli significativi ai fini degli obblighi di notifica e dare piena attuazione al principio "</w:t>
      </w:r>
      <w:r w:rsidRPr="006400DE">
        <w:rPr>
          <w:rFonts w:ascii="Times New Roman" w:eastAsia="Arial" w:hAnsi="Times New Roman"/>
          <w:i/>
          <w:iCs/>
          <w:sz w:val="24"/>
          <w:szCs w:val="24"/>
        </w:rPr>
        <w:t xml:space="preserve">Report once, Share </w:t>
      </w:r>
      <w:proofErr w:type="spellStart"/>
      <w:r w:rsidRPr="006400DE">
        <w:rPr>
          <w:rFonts w:ascii="Times New Roman" w:eastAsia="Arial" w:hAnsi="Times New Roman"/>
          <w:i/>
          <w:iCs/>
          <w:sz w:val="24"/>
          <w:szCs w:val="24"/>
        </w:rPr>
        <w:t>many</w:t>
      </w:r>
      <w:proofErr w:type="spellEnd"/>
      <w:r w:rsidRPr="006400DE">
        <w:rPr>
          <w:rFonts w:ascii="Times New Roman" w:eastAsia="Arial" w:hAnsi="Times New Roman"/>
          <w:sz w:val="24"/>
          <w:szCs w:val="24"/>
        </w:rPr>
        <w:t>", anche attraverso l’adozione di un modello europeo unico per la trasmissione delle comunicazioni</w:t>
      </w:r>
      <w:r w:rsidR="009379D6" w:rsidRPr="006400DE">
        <w:rPr>
          <w:rFonts w:ascii="Times New Roman" w:eastAsia="Arial" w:hAnsi="Times New Roman"/>
          <w:sz w:val="24"/>
          <w:szCs w:val="24"/>
        </w:rPr>
        <w:t>;</w:t>
      </w:r>
    </w:p>
    <w:p w14:paraId="3C188F60" w14:textId="77777777" w:rsidR="009905FC" w:rsidRPr="006400DE" w:rsidRDefault="001E5AF5" w:rsidP="006400DE">
      <w:pPr>
        <w:pStyle w:val="Paragrafoelenco"/>
        <w:numPr>
          <w:ilvl w:val="0"/>
          <w:numId w:val="10"/>
        </w:numPr>
        <w:spacing w:before="0" w:after="120" w:line="300" w:lineRule="atLeast"/>
        <w:ind w:left="851" w:hanging="567"/>
        <w:rPr>
          <w:rFonts w:ascii="Times New Roman" w:hAnsi="Times New Roman"/>
          <w:sz w:val="24"/>
          <w:szCs w:val="24"/>
        </w:rPr>
      </w:pPr>
      <w:r w:rsidRPr="006400DE">
        <w:rPr>
          <w:rFonts w:ascii="Times New Roman" w:hAnsi="Times New Roman"/>
          <w:sz w:val="24"/>
          <w:szCs w:val="24"/>
        </w:rPr>
        <w:t>si valuti l’opportunità di promuovere, nell’ambito delle future iniziative europee di semplificazione del quadro normativo digitale, una maggiore coerenza tra disciplina regolatoria e procedure di approvvigionamento pubblico delle tecnologie digitali, al fine di evitare che la complessità amministrativa e la rigidità degli strumenti di acquisto possano ostacolare la diffusione delle innovazioni tecnologiche, la modernizzazione delle amministrazioni pubbliche e l’attuazione dei programmi europei di digitalizzazione;</w:t>
      </w:r>
    </w:p>
    <w:p w14:paraId="69356C2D" w14:textId="536DF338" w:rsidR="001E5AF5" w:rsidRPr="006400DE" w:rsidRDefault="001E5AF5" w:rsidP="006400DE">
      <w:pPr>
        <w:pStyle w:val="Paragrafoelenco"/>
        <w:numPr>
          <w:ilvl w:val="0"/>
          <w:numId w:val="10"/>
        </w:numPr>
        <w:spacing w:before="0" w:after="120" w:line="300" w:lineRule="atLeast"/>
        <w:ind w:left="851" w:hanging="567"/>
        <w:rPr>
          <w:rFonts w:ascii="Times New Roman" w:hAnsi="Times New Roman"/>
          <w:sz w:val="24"/>
          <w:szCs w:val="24"/>
        </w:rPr>
      </w:pPr>
      <w:r w:rsidRPr="006400DE">
        <w:rPr>
          <w:rFonts w:ascii="Times New Roman" w:hAnsi="Times New Roman"/>
          <w:sz w:val="24"/>
          <w:szCs w:val="24"/>
        </w:rPr>
        <w:t>si consideri altresì l’opportunità di favorire, nel rispetto delle competenze degli Stati membri in materia di appalti pubblici, modelli di approvvigionamento maggiormente flessibili e capaci di tenere conto della rapida evoluzione dei mercati tecnologici.</w:t>
      </w:r>
    </w:p>
    <w:sectPr w:rsidR="001E5AF5" w:rsidRPr="006400DE" w:rsidSect="00E711CF">
      <w:headerReference w:type="default" r:id="rId8"/>
      <w:footerReference w:type="default" r:id="rId9"/>
      <w:type w:val="continuous"/>
      <w:pgSz w:w="11906" w:h="16838" w:code="9"/>
      <w:pgMar w:top="1985" w:right="1985" w:bottom="1985" w:left="1985"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7AEA1" w14:textId="77777777" w:rsidR="0030475C" w:rsidRDefault="0030475C">
      <w:r>
        <w:separator/>
      </w:r>
    </w:p>
  </w:endnote>
  <w:endnote w:type="continuationSeparator" w:id="0">
    <w:p w14:paraId="5437305B" w14:textId="77777777" w:rsidR="0030475C" w:rsidRDefault="0030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077478"/>
      <w:docPartObj>
        <w:docPartGallery w:val="Page Numbers (Bottom of Page)"/>
        <w:docPartUnique/>
      </w:docPartObj>
    </w:sdtPr>
    <w:sdtEndPr>
      <w:rPr>
        <w:sz w:val="22"/>
        <w:szCs w:val="22"/>
      </w:rPr>
    </w:sdtEndPr>
    <w:sdtContent>
      <w:p w14:paraId="30218048" w14:textId="06509F34" w:rsidR="0047669F" w:rsidRPr="009905FC" w:rsidRDefault="0047669F" w:rsidP="00BC4C7E">
        <w:pPr>
          <w:pStyle w:val="Pidipagina"/>
          <w:tabs>
            <w:tab w:val="clear" w:pos="425"/>
          </w:tabs>
          <w:ind w:left="0" w:firstLine="0"/>
          <w:jc w:val="center"/>
          <w:rPr>
            <w:sz w:val="22"/>
            <w:szCs w:val="22"/>
          </w:rPr>
        </w:pPr>
        <w:r w:rsidRPr="009905FC">
          <w:rPr>
            <w:sz w:val="22"/>
            <w:szCs w:val="22"/>
          </w:rPr>
          <w:fldChar w:fldCharType="begin"/>
        </w:r>
        <w:r w:rsidRPr="009905FC">
          <w:rPr>
            <w:sz w:val="22"/>
            <w:szCs w:val="22"/>
          </w:rPr>
          <w:instrText>PAGE   \* MERGEFORMAT</w:instrText>
        </w:r>
        <w:r w:rsidRPr="009905FC">
          <w:rPr>
            <w:sz w:val="22"/>
            <w:szCs w:val="22"/>
          </w:rPr>
          <w:fldChar w:fldCharType="separate"/>
        </w:r>
        <w:r w:rsidR="00CE26DE">
          <w:rPr>
            <w:noProof/>
            <w:sz w:val="22"/>
            <w:szCs w:val="22"/>
          </w:rPr>
          <w:t>12</w:t>
        </w:r>
        <w:r w:rsidRPr="009905FC">
          <w:rPr>
            <w:sz w:val="22"/>
            <w:szCs w:val="22"/>
          </w:rPr>
          <w:fldChar w:fldCharType="end"/>
        </w:r>
      </w:p>
    </w:sdtContent>
  </w:sdt>
  <w:p w14:paraId="1043268C" w14:textId="77777777" w:rsidR="0047669F" w:rsidRDefault="0047669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35C3B" w14:textId="77777777" w:rsidR="0030475C" w:rsidRDefault="0030475C">
      <w:r>
        <w:separator/>
      </w:r>
    </w:p>
  </w:footnote>
  <w:footnote w:type="continuationSeparator" w:id="0">
    <w:p w14:paraId="3C8FB910" w14:textId="77777777" w:rsidR="0030475C" w:rsidRDefault="00304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5EB35" w14:textId="77777777" w:rsidR="0047669F" w:rsidRDefault="0047669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C79C6"/>
    <w:multiLevelType w:val="hybridMultilevel"/>
    <w:tmpl w:val="CAB29AE6"/>
    <w:lvl w:ilvl="0" w:tplc="0410001B">
      <w:start w:val="1"/>
      <w:numFmt w:val="lowerRoman"/>
      <w:lvlText w:val="%1."/>
      <w:lvlJc w:val="righ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 w15:restartNumberingAfterBreak="0">
    <w:nsid w:val="1F511CB7"/>
    <w:multiLevelType w:val="hybridMultilevel"/>
    <w:tmpl w:val="2CAC1358"/>
    <w:lvl w:ilvl="0" w:tplc="5900BFB0">
      <w:start w:val="1"/>
      <w:numFmt w:val="bullet"/>
      <w:pStyle w:val="Puntielenco3livello"/>
      <w:lvlText w:val=""/>
      <w:lvlJc w:val="left"/>
      <w:pPr>
        <w:tabs>
          <w:tab w:val="num" w:pos="1620"/>
        </w:tabs>
        <w:ind w:left="1620" w:hanging="360"/>
      </w:pPr>
      <w:rPr>
        <w:rFonts w:ascii="Symbol" w:hAnsi="Symbol" w:hint="default"/>
      </w:rPr>
    </w:lvl>
    <w:lvl w:ilvl="1" w:tplc="04100003" w:tentative="1">
      <w:start w:val="1"/>
      <w:numFmt w:val="bullet"/>
      <w:lvlText w:val="o"/>
      <w:lvlJc w:val="left"/>
      <w:pPr>
        <w:tabs>
          <w:tab w:val="num" w:pos="2340"/>
        </w:tabs>
        <w:ind w:left="2340" w:hanging="360"/>
      </w:pPr>
      <w:rPr>
        <w:rFonts w:ascii="Courier New" w:hAnsi="Courier New" w:cs="Courier New"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cs="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cs="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228A404C"/>
    <w:multiLevelType w:val="hybridMultilevel"/>
    <w:tmpl w:val="A322C6B2"/>
    <w:lvl w:ilvl="0" w:tplc="FFFFFFFF">
      <w:start w:val="1"/>
      <w:numFmt w:val="decimal"/>
      <w:lvlText w:val="%1)"/>
      <w:lvlJc w:val="left"/>
      <w:pPr>
        <w:ind w:left="644" w:hanging="360"/>
      </w:pPr>
      <w:rPr>
        <w:rFonts w:hint="default"/>
        <w:b w:val="0"/>
        <w:bCs w:val="0"/>
        <w:i w:val="0"/>
        <w:iCs/>
        <w:strike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7B574B"/>
    <w:multiLevelType w:val="hybridMultilevel"/>
    <w:tmpl w:val="23DE5F60"/>
    <w:lvl w:ilvl="0" w:tplc="8354C19A">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B06325E"/>
    <w:multiLevelType w:val="hybridMultilevel"/>
    <w:tmpl w:val="D6924756"/>
    <w:lvl w:ilvl="0" w:tplc="25C42E08">
      <w:start w:val="1"/>
      <w:numFmt w:val="lowerRoman"/>
      <w:lvlText w:val="%1."/>
      <w:lvlJc w:val="right"/>
      <w:pPr>
        <w:ind w:left="1071" w:hanging="360"/>
      </w:pPr>
      <w:rPr>
        <w:i/>
        <w:iCs/>
      </w:rPr>
    </w:lvl>
    <w:lvl w:ilvl="1" w:tplc="04100019" w:tentative="1">
      <w:start w:val="1"/>
      <w:numFmt w:val="lowerLetter"/>
      <w:lvlText w:val="%2."/>
      <w:lvlJc w:val="left"/>
      <w:pPr>
        <w:ind w:left="1791" w:hanging="360"/>
      </w:pPr>
    </w:lvl>
    <w:lvl w:ilvl="2" w:tplc="0410001B" w:tentative="1">
      <w:start w:val="1"/>
      <w:numFmt w:val="lowerRoman"/>
      <w:lvlText w:val="%3."/>
      <w:lvlJc w:val="right"/>
      <w:pPr>
        <w:ind w:left="2511" w:hanging="180"/>
      </w:pPr>
    </w:lvl>
    <w:lvl w:ilvl="3" w:tplc="0410000F" w:tentative="1">
      <w:start w:val="1"/>
      <w:numFmt w:val="decimal"/>
      <w:lvlText w:val="%4."/>
      <w:lvlJc w:val="left"/>
      <w:pPr>
        <w:ind w:left="3231" w:hanging="360"/>
      </w:pPr>
    </w:lvl>
    <w:lvl w:ilvl="4" w:tplc="04100019" w:tentative="1">
      <w:start w:val="1"/>
      <w:numFmt w:val="lowerLetter"/>
      <w:lvlText w:val="%5."/>
      <w:lvlJc w:val="left"/>
      <w:pPr>
        <w:ind w:left="3951" w:hanging="360"/>
      </w:pPr>
    </w:lvl>
    <w:lvl w:ilvl="5" w:tplc="0410001B" w:tentative="1">
      <w:start w:val="1"/>
      <w:numFmt w:val="lowerRoman"/>
      <w:lvlText w:val="%6."/>
      <w:lvlJc w:val="right"/>
      <w:pPr>
        <w:ind w:left="4671" w:hanging="180"/>
      </w:pPr>
    </w:lvl>
    <w:lvl w:ilvl="6" w:tplc="0410000F" w:tentative="1">
      <w:start w:val="1"/>
      <w:numFmt w:val="decimal"/>
      <w:lvlText w:val="%7."/>
      <w:lvlJc w:val="left"/>
      <w:pPr>
        <w:ind w:left="5391" w:hanging="360"/>
      </w:pPr>
    </w:lvl>
    <w:lvl w:ilvl="7" w:tplc="04100019" w:tentative="1">
      <w:start w:val="1"/>
      <w:numFmt w:val="lowerLetter"/>
      <w:lvlText w:val="%8."/>
      <w:lvlJc w:val="left"/>
      <w:pPr>
        <w:ind w:left="6111" w:hanging="360"/>
      </w:pPr>
    </w:lvl>
    <w:lvl w:ilvl="8" w:tplc="0410001B" w:tentative="1">
      <w:start w:val="1"/>
      <w:numFmt w:val="lowerRoman"/>
      <w:lvlText w:val="%9."/>
      <w:lvlJc w:val="right"/>
      <w:pPr>
        <w:ind w:left="6831" w:hanging="180"/>
      </w:pPr>
    </w:lvl>
  </w:abstractNum>
  <w:abstractNum w:abstractNumId="5" w15:restartNumberingAfterBreak="0">
    <w:nsid w:val="2E1C216F"/>
    <w:multiLevelType w:val="hybridMultilevel"/>
    <w:tmpl w:val="1C80B4DA"/>
    <w:lvl w:ilvl="0" w:tplc="D92CE896">
      <w:start w:val="1"/>
      <w:numFmt w:val="lowerLetter"/>
      <w:lvlText w:val="%1)"/>
      <w:lvlJc w:val="left"/>
      <w:pPr>
        <w:ind w:left="644" w:hanging="360"/>
      </w:pPr>
      <w:rPr>
        <w:rFonts w:hint="default"/>
        <w:b w:val="0"/>
        <w:bCs w:val="0"/>
        <w:i/>
        <w:iCs/>
        <w:strike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0D67A93"/>
    <w:multiLevelType w:val="hybridMultilevel"/>
    <w:tmpl w:val="4FC6E76E"/>
    <w:lvl w:ilvl="0" w:tplc="EA58D584">
      <w:start w:val="1"/>
      <w:numFmt w:val="bullet"/>
      <w:pStyle w:val="Puntielenco1livello"/>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601CFA"/>
    <w:multiLevelType w:val="hybridMultilevel"/>
    <w:tmpl w:val="195AD9BA"/>
    <w:lvl w:ilvl="0" w:tplc="04100011">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7ABF4F93"/>
    <w:multiLevelType w:val="hybridMultilevel"/>
    <w:tmpl w:val="E7180C7E"/>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9" w15:restartNumberingAfterBreak="0">
    <w:nsid w:val="7DAC7967"/>
    <w:multiLevelType w:val="hybridMultilevel"/>
    <w:tmpl w:val="19F88C12"/>
    <w:lvl w:ilvl="0" w:tplc="38B610A2">
      <w:start w:val="1"/>
      <w:numFmt w:val="lowerRoman"/>
      <w:lvlText w:val="%1."/>
      <w:lvlJc w:val="right"/>
      <w:pPr>
        <w:ind w:left="1364" w:hanging="360"/>
      </w:pPr>
      <w:rPr>
        <w:i/>
        <w:iCs/>
      </w:r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num w:numId="1">
    <w:abstractNumId w:val="6"/>
  </w:num>
  <w:num w:numId="2">
    <w:abstractNumId w:val="1"/>
  </w:num>
  <w:num w:numId="3">
    <w:abstractNumId w:val="5"/>
  </w:num>
  <w:num w:numId="4">
    <w:abstractNumId w:val="9"/>
  </w:num>
  <w:num w:numId="5">
    <w:abstractNumId w:val="4"/>
  </w:num>
  <w:num w:numId="6">
    <w:abstractNumId w:val="8"/>
  </w:num>
  <w:num w:numId="7">
    <w:abstractNumId w:val="0"/>
  </w:num>
  <w:num w:numId="8">
    <w:abstractNumId w:val="7"/>
  </w:num>
  <w:num w:numId="9">
    <w:abstractNumId w:val="3"/>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283"/>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F6E"/>
    <w:rsid w:val="00000DDC"/>
    <w:rsid w:val="00005454"/>
    <w:rsid w:val="000063E1"/>
    <w:rsid w:val="000066AB"/>
    <w:rsid w:val="00007BBE"/>
    <w:rsid w:val="00011CFE"/>
    <w:rsid w:val="000134E5"/>
    <w:rsid w:val="00014E9A"/>
    <w:rsid w:val="0001715D"/>
    <w:rsid w:val="00020C99"/>
    <w:rsid w:val="000213E7"/>
    <w:rsid w:val="0002167F"/>
    <w:rsid w:val="00023AA9"/>
    <w:rsid w:val="00023B40"/>
    <w:rsid w:val="00030CA7"/>
    <w:rsid w:val="0003231B"/>
    <w:rsid w:val="00032726"/>
    <w:rsid w:val="00035760"/>
    <w:rsid w:val="00036884"/>
    <w:rsid w:val="000400F8"/>
    <w:rsid w:val="000406D4"/>
    <w:rsid w:val="00040B4F"/>
    <w:rsid w:val="00042D80"/>
    <w:rsid w:val="00043F90"/>
    <w:rsid w:val="00044BE2"/>
    <w:rsid w:val="000452BD"/>
    <w:rsid w:val="0004576D"/>
    <w:rsid w:val="00051C5B"/>
    <w:rsid w:val="00052A0A"/>
    <w:rsid w:val="00055DA4"/>
    <w:rsid w:val="000566F2"/>
    <w:rsid w:val="000568D9"/>
    <w:rsid w:val="00060FB4"/>
    <w:rsid w:val="00063BA9"/>
    <w:rsid w:val="00064215"/>
    <w:rsid w:val="00066B66"/>
    <w:rsid w:val="000720AD"/>
    <w:rsid w:val="00075789"/>
    <w:rsid w:val="000839D8"/>
    <w:rsid w:val="000862C4"/>
    <w:rsid w:val="00087332"/>
    <w:rsid w:val="00087464"/>
    <w:rsid w:val="00093177"/>
    <w:rsid w:val="00093ADF"/>
    <w:rsid w:val="00093E81"/>
    <w:rsid w:val="000956D4"/>
    <w:rsid w:val="000968A5"/>
    <w:rsid w:val="00096AF0"/>
    <w:rsid w:val="00096EAF"/>
    <w:rsid w:val="00097C8F"/>
    <w:rsid w:val="000A36CB"/>
    <w:rsid w:val="000A40DA"/>
    <w:rsid w:val="000A6919"/>
    <w:rsid w:val="000A6BF3"/>
    <w:rsid w:val="000A7E05"/>
    <w:rsid w:val="000B0E69"/>
    <w:rsid w:val="000B2458"/>
    <w:rsid w:val="000B2D44"/>
    <w:rsid w:val="000B3394"/>
    <w:rsid w:val="000B5201"/>
    <w:rsid w:val="000C0B6F"/>
    <w:rsid w:val="000C1759"/>
    <w:rsid w:val="000C6BC5"/>
    <w:rsid w:val="000C73E8"/>
    <w:rsid w:val="000D020D"/>
    <w:rsid w:val="000D0634"/>
    <w:rsid w:val="000D08B2"/>
    <w:rsid w:val="000D6AC6"/>
    <w:rsid w:val="000D6DDC"/>
    <w:rsid w:val="000D7D45"/>
    <w:rsid w:val="000E0711"/>
    <w:rsid w:val="000E5DC2"/>
    <w:rsid w:val="000E781E"/>
    <w:rsid w:val="000F048E"/>
    <w:rsid w:val="000F0F55"/>
    <w:rsid w:val="000F2332"/>
    <w:rsid w:val="000F4D5B"/>
    <w:rsid w:val="000F71FF"/>
    <w:rsid w:val="000F7D3C"/>
    <w:rsid w:val="00101014"/>
    <w:rsid w:val="001013D0"/>
    <w:rsid w:val="00101474"/>
    <w:rsid w:val="001014A4"/>
    <w:rsid w:val="001034D9"/>
    <w:rsid w:val="00104808"/>
    <w:rsid w:val="001101BC"/>
    <w:rsid w:val="00113AFE"/>
    <w:rsid w:val="00116219"/>
    <w:rsid w:val="001174BB"/>
    <w:rsid w:val="0011790F"/>
    <w:rsid w:val="00120EB4"/>
    <w:rsid w:val="00121C5C"/>
    <w:rsid w:val="00123BEC"/>
    <w:rsid w:val="00130278"/>
    <w:rsid w:val="00131F5D"/>
    <w:rsid w:val="00132B32"/>
    <w:rsid w:val="00132D9A"/>
    <w:rsid w:val="0013605A"/>
    <w:rsid w:val="00137917"/>
    <w:rsid w:val="00140405"/>
    <w:rsid w:val="00140498"/>
    <w:rsid w:val="001436F5"/>
    <w:rsid w:val="00144627"/>
    <w:rsid w:val="00144DD7"/>
    <w:rsid w:val="00144EAA"/>
    <w:rsid w:val="001453E9"/>
    <w:rsid w:val="001471CA"/>
    <w:rsid w:val="00150023"/>
    <w:rsid w:val="00152CC0"/>
    <w:rsid w:val="001545BB"/>
    <w:rsid w:val="0015524D"/>
    <w:rsid w:val="00156210"/>
    <w:rsid w:val="001577E4"/>
    <w:rsid w:val="00160D77"/>
    <w:rsid w:val="00161F61"/>
    <w:rsid w:val="0016668E"/>
    <w:rsid w:val="00167B3B"/>
    <w:rsid w:val="001760DE"/>
    <w:rsid w:val="001764C4"/>
    <w:rsid w:val="00177388"/>
    <w:rsid w:val="00177EA7"/>
    <w:rsid w:val="00181258"/>
    <w:rsid w:val="00181AAB"/>
    <w:rsid w:val="001826CA"/>
    <w:rsid w:val="00184205"/>
    <w:rsid w:val="00185CDA"/>
    <w:rsid w:val="00190398"/>
    <w:rsid w:val="0019613C"/>
    <w:rsid w:val="00196ACE"/>
    <w:rsid w:val="00197274"/>
    <w:rsid w:val="001A17FA"/>
    <w:rsid w:val="001A40A2"/>
    <w:rsid w:val="001A4744"/>
    <w:rsid w:val="001A53DC"/>
    <w:rsid w:val="001A6ABE"/>
    <w:rsid w:val="001A73AE"/>
    <w:rsid w:val="001A7DC5"/>
    <w:rsid w:val="001B1316"/>
    <w:rsid w:val="001B139E"/>
    <w:rsid w:val="001B20CD"/>
    <w:rsid w:val="001B6F43"/>
    <w:rsid w:val="001B7E91"/>
    <w:rsid w:val="001C00E1"/>
    <w:rsid w:val="001C4352"/>
    <w:rsid w:val="001C5303"/>
    <w:rsid w:val="001C61A6"/>
    <w:rsid w:val="001D1E58"/>
    <w:rsid w:val="001D251F"/>
    <w:rsid w:val="001D404A"/>
    <w:rsid w:val="001D74A8"/>
    <w:rsid w:val="001D75FD"/>
    <w:rsid w:val="001D7FED"/>
    <w:rsid w:val="001E1378"/>
    <w:rsid w:val="001E2280"/>
    <w:rsid w:val="001E4748"/>
    <w:rsid w:val="001E5AF5"/>
    <w:rsid w:val="001E7AA6"/>
    <w:rsid w:val="001F0FEB"/>
    <w:rsid w:val="001F24AB"/>
    <w:rsid w:val="001F25A4"/>
    <w:rsid w:val="001F5A49"/>
    <w:rsid w:val="001F7B52"/>
    <w:rsid w:val="00200273"/>
    <w:rsid w:val="00201F8F"/>
    <w:rsid w:val="00210730"/>
    <w:rsid w:val="00210A72"/>
    <w:rsid w:val="00211280"/>
    <w:rsid w:val="0021259E"/>
    <w:rsid w:val="00212FC7"/>
    <w:rsid w:val="00214590"/>
    <w:rsid w:val="002162D1"/>
    <w:rsid w:val="00220D5B"/>
    <w:rsid w:val="00221008"/>
    <w:rsid w:val="00221729"/>
    <w:rsid w:val="00224F0A"/>
    <w:rsid w:val="002270C9"/>
    <w:rsid w:val="00234162"/>
    <w:rsid w:val="002368B6"/>
    <w:rsid w:val="00241A68"/>
    <w:rsid w:val="00241B44"/>
    <w:rsid w:val="00247702"/>
    <w:rsid w:val="002478BA"/>
    <w:rsid w:val="00247A57"/>
    <w:rsid w:val="00251290"/>
    <w:rsid w:val="002524AB"/>
    <w:rsid w:val="00255F79"/>
    <w:rsid w:val="00257E79"/>
    <w:rsid w:val="00260070"/>
    <w:rsid w:val="002631CB"/>
    <w:rsid w:val="00264B30"/>
    <w:rsid w:val="00266AB6"/>
    <w:rsid w:val="0027051D"/>
    <w:rsid w:val="00271627"/>
    <w:rsid w:val="00274045"/>
    <w:rsid w:val="00274659"/>
    <w:rsid w:val="00276190"/>
    <w:rsid w:val="00276EE4"/>
    <w:rsid w:val="00277DD4"/>
    <w:rsid w:val="00283767"/>
    <w:rsid w:val="002840E4"/>
    <w:rsid w:val="002841A7"/>
    <w:rsid w:val="00284800"/>
    <w:rsid w:val="002857B0"/>
    <w:rsid w:val="0028697B"/>
    <w:rsid w:val="002869B9"/>
    <w:rsid w:val="00287587"/>
    <w:rsid w:val="00287F6F"/>
    <w:rsid w:val="00290E3C"/>
    <w:rsid w:val="00292724"/>
    <w:rsid w:val="00292BD8"/>
    <w:rsid w:val="0029558D"/>
    <w:rsid w:val="00296C65"/>
    <w:rsid w:val="002A0BA8"/>
    <w:rsid w:val="002A0DEA"/>
    <w:rsid w:val="002A16DB"/>
    <w:rsid w:val="002A3C58"/>
    <w:rsid w:val="002A4917"/>
    <w:rsid w:val="002A6418"/>
    <w:rsid w:val="002A732E"/>
    <w:rsid w:val="002A76C6"/>
    <w:rsid w:val="002B4130"/>
    <w:rsid w:val="002B41D7"/>
    <w:rsid w:val="002B4D0A"/>
    <w:rsid w:val="002B53FB"/>
    <w:rsid w:val="002B6A37"/>
    <w:rsid w:val="002C142C"/>
    <w:rsid w:val="002C44C1"/>
    <w:rsid w:val="002C4873"/>
    <w:rsid w:val="002D04E9"/>
    <w:rsid w:val="002D22A3"/>
    <w:rsid w:val="002D2CA3"/>
    <w:rsid w:val="002D37C4"/>
    <w:rsid w:val="002D5E7D"/>
    <w:rsid w:val="002D6766"/>
    <w:rsid w:val="002E089F"/>
    <w:rsid w:val="002E0C10"/>
    <w:rsid w:val="002E0E46"/>
    <w:rsid w:val="002E24D9"/>
    <w:rsid w:val="002E33F3"/>
    <w:rsid w:val="002E3809"/>
    <w:rsid w:val="002F0E3A"/>
    <w:rsid w:val="002F1962"/>
    <w:rsid w:val="002F3731"/>
    <w:rsid w:val="002F5DDD"/>
    <w:rsid w:val="002F6F2E"/>
    <w:rsid w:val="002F6F73"/>
    <w:rsid w:val="002F72D5"/>
    <w:rsid w:val="002F7B1F"/>
    <w:rsid w:val="0030284E"/>
    <w:rsid w:val="00302E4E"/>
    <w:rsid w:val="0030399E"/>
    <w:rsid w:val="00303DB6"/>
    <w:rsid w:val="0030475C"/>
    <w:rsid w:val="00304EF3"/>
    <w:rsid w:val="003061C1"/>
    <w:rsid w:val="0030689D"/>
    <w:rsid w:val="00310741"/>
    <w:rsid w:val="00310A0B"/>
    <w:rsid w:val="003137DA"/>
    <w:rsid w:val="00315FF5"/>
    <w:rsid w:val="00316431"/>
    <w:rsid w:val="00322B43"/>
    <w:rsid w:val="00324635"/>
    <w:rsid w:val="00327075"/>
    <w:rsid w:val="00330B6E"/>
    <w:rsid w:val="00332464"/>
    <w:rsid w:val="0033288B"/>
    <w:rsid w:val="003344F2"/>
    <w:rsid w:val="00336A39"/>
    <w:rsid w:val="00336AAD"/>
    <w:rsid w:val="00340512"/>
    <w:rsid w:val="00343D68"/>
    <w:rsid w:val="00346F86"/>
    <w:rsid w:val="00347FEE"/>
    <w:rsid w:val="0035027B"/>
    <w:rsid w:val="00351F33"/>
    <w:rsid w:val="003526BE"/>
    <w:rsid w:val="00352712"/>
    <w:rsid w:val="00352E56"/>
    <w:rsid w:val="00353075"/>
    <w:rsid w:val="003546D7"/>
    <w:rsid w:val="00356D6D"/>
    <w:rsid w:val="003611B5"/>
    <w:rsid w:val="00361FD2"/>
    <w:rsid w:val="0036730B"/>
    <w:rsid w:val="00367A68"/>
    <w:rsid w:val="00371A6F"/>
    <w:rsid w:val="00374272"/>
    <w:rsid w:val="00375590"/>
    <w:rsid w:val="00375D27"/>
    <w:rsid w:val="0038020E"/>
    <w:rsid w:val="00380292"/>
    <w:rsid w:val="003825C2"/>
    <w:rsid w:val="00382DC9"/>
    <w:rsid w:val="003831C8"/>
    <w:rsid w:val="00383DB3"/>
    <w:rsid w:val="00384018"/>
    <w:rsid w:val="003863DE"/>
    <w:rsid w:val="0038793A"/>
    <w:rsid w:val="0039033B"/>
    <w:rsid w:val="0039087D"/>
    <w:rsid w:val="00391368"/>
    <w:rsid w:val="00394004"/>
    <w:rsid w:val="003946E6"/>
    <w:rsid w:val="00396894"/>
    <w:rsid w:val="00397C2B"/>
    <w:rsid w:val="003A034F"/>
    <w:rsid w:val="003B0E26"/>
    <w:rsid w:val="003B45B0"/>
    <w:rsid w:val="003B620D"/>
    <w:rsid w:val="003C3869"/>
    <w:rsid w:val="003C43A3"/>
    <w:rsid w:val="003C5772"/>
    <w:rsid w:val="003C58EF"/>
    <w:rsid w:val="003C6317"/>
    <w:rsid w:val="003C7AF0"/>
    <w:rsid w:val="003D09E3"/>
    <w:rsid w:val="003D1338"/>
    <w:rsid w:val="003D2470"/>
    <w:rsid w:val="003D26CC"/>
    <w:rsid w:val="003D5020"/>
    <w:rsid w:val="003D60BB"/>
    <w:rsid w:val="003E2E13"/>
    <w:rsid w:val="003E350A"/>
    <w:rsid w:val="003E375C"/>
    <w:rsid w:val="003E4313"/>
    <w:rsid w:val="003E46A0"/>
    <w:rsid w:val="003E688C"/>
    <w:rsid w:val="003E7396"/>
    <w:rsid w:val="003E793E"/>
    <w:rsid w:val="003F15A7"/>
    <w:rsid w:val="003F221D"/>
    <w:rsid w:val="003F29D9"/>
    <w:rsid w:val="003F42F9"/>
    <w:rsid w:val="003F6C08"/>
    <w:rsid w:val="003F7B9F"/>
    <w:rsid w:val="00403741"/>
    <w:rsid w:val="00404158"/>
    <w:rsid w:val="00405C07"/>
    <w:rsid w:val="00406D15"/>
    <w:rsid w:val="00410CBC"/>
    <w:rsid w:val="00412469"/>
    <w:rsid w:val="00414399"/>
    <w:rsid w:val="004158F3"/>
    <w:rsid w:val="00416470"/>
    <w:rsid w:val="00420F3B"/>
    <w:rsid w:val="00421617"/>
    <w:rsid w:val="004227F4"/>
    <w:rsid w:val="0042368E"/>
    <w:rsid w:val="00424041"/>
    <w:rsid w:val="0042729D"/>
    <w:rsid w:val="00427E4D"/>
    <w:rsid w:val="00432DCE"/>
    <w:rsid w:val="00433417"/>
    <w:rsid w:val="00433497"/>
    <w:rsid w:val="00433F66"/>
    <w:rsid w:val="0043448C"/>
    <w:rsid w:val="00435249"/>
    <w:rsid w:val="004352BE"/>
    <w:rsid w:val="0044032C"/>
    <w:rsid w:val="004406F9"/>
    <w:rsid w:val="00440CA9"/>
    <w:rsid w:val="00443B1F"/>
    <w:rsid w:val="00444218"/>
    <w:rsid w:val="00444238"/>
    <w:rsid w:val="00444B69"/>
    <w:rsid w:val="00446483"/>
    <w:rsid w:val="00447720"/>
    <w:rsid w:val="00447EFE"/>
    <w:rsid w:val="00454A55"/>
    <w:rsid w:val="00460A32"/>
    <w:rsid w:val="00462254"/>
    <w:rsid w:val="0046405E"/>
    <w:rsid w:val="00464BCC"/>
    <w:rsid w:val="0046614B"/>
    <w:rsid w:val="00466D08"/>
    <w:rsid w:val="00466D1B"/>
    <w:rsid w:val="00467881"/>
    <w:rsid w:val="00470D29"/>
    <w:rsid w:val="00473D13"/>
    <w:rsid w:val="00474311"/>
    <w:rsid w:val="0047487E"/>
    <w:rsid w:val="00475865"/>
    <w:rsid w:val="00475F53"/>
    <w:rsid w:val="0047669F"/>
    <w:rsid w:val="00476D65"/>
    <w:rsid w:val="00480765"/>
    <w:rsid w:val="00480A2C"/>
    <w:rsid w:val="00482B34"/>
    <w:rsid w:val="00483B55"/>
    <w:rsid w:val="00483E97"/>
    <w:rsid w:val="00485A30"/>
    <w:rsid w:val="00491657"/>
    <w:rsid w:val="00492E5A"/>
    <w:rsid w:val="004954AE"/>
    <w:rsid w:val="00495686"/>
    <w:rsid w:val="00495CB9"/>
    <w:rsid w:val="004A23A8"/>
    <w:rsid w:val="004A3599"/>
    <w:rsid w:val="004A3703"/>
    <w:rsid w:val="004A48CE"/>
    <w:rsid w:val="004A4B27"/>
    <w:rsid w:val="004B1961"/>
    <w:rsid w:val="004B263C"/>
    <w:rsid w:val="004B44CC"/>
    <w:rsid w:val="004B68A9"/>
    <w:rsid w:val="004B757C"/>
    <w:rsid w:val="004C032F"/>
    <w:rsid w:val="004C2A3E"/>
    <w:rsid w:val="004C3DAD"/>
    <w:rsid w:val="004C4F5B"/>
    <w:rsid w:val="004C674D"/>
    <w:rsid w:val="004D213B"/>
    <w:rsid w:val="004D5391"/>
    <w:rsid w:val="004D7366"/>
    <w:rsid w:val="004E2302"/>
    <w:rsid w:val="004E4E3B"/>
    <w:rsid w:val="004E5D1B"/>
    <w:rsid w:val="004E60A6"/>
    <w:rsid w:val="004E74E3"/>
    <w:rsid w:val="004E7D73"/>
    <w:rsid w:val="004F021E"/>
    <w:rsid w:val="004F17D9"/>
    <w:rsid w:val="004F26A7"/>
    <w:rsid w:val="004F3CF1"/>
    <w:rsid w:val="004F5017"/>
    <w:rsid w:val="005002DE"/>
    <w:rsid w:val="00500AC5"/>
    <w:rsid w:val="00500F21"/>
    <w:rsid w:val="00504D23"/>
    <w:rsid w:val="005079DF"/>
    <w:rsid w:val="00511632"/>
    <w:rsid w:val="00513248"/>
    <w:rsid w:val="005227D4"/>
    <w:rsid w:val="005237BE"/>
    <w:rsid w:val="0052452D"/>
    <w:rsid w:val="00525413"/>
    <w:rsid w:val="00525C3C"/>
    <w:rsid w:val="00530E7F"/>
    <w:rsid w:val="00532BBC"/>
    <w:rsid w:val="005339D9"/>
    <w:rsid w:val="00533D6F"/>
    <w:rsid w:val="00535C36"/>
    <w:rsid w:val="00536A44"/>
    <w:rsid w:val="005371A4"/>
    <w:rsid w:val="00537423"/>
    <w:rsid w:val="00537A0C"/>
    <w:rsid w:val="00537BB3"/>
    <w:rsid w:val="00537CD8"/>
    <w:rsid w:val="005404F2"/>
    <w:rsid w:val="005409CE"/>
    <w:rsid w:val="00540A1B"/>
    <w:rsid w:val="005439B8"/>
    <w:rsid w:val="005446E1"/>
    <w:rsid w:val="00546974"/>
    <w:rsid w:val="00547391"/>
    <w:rsid w:val="0055173C"/>
    <w:rsid w:val="005518D0"/>
    <w:rsid w:val="005524E6"/>
    <w:rsid w:val="00552B9F"/>
    <w:rsid w:val="0055355F"/>
    <w:rsid w:val="00553C9C"/>
    <w:rsid w:val="0055515D"/>
    <w:rsid w:val="005568E7"/>
    <w:rsid w:val="005573E8"/>
    <w:rsid w:val="00561F8B"/>
    <w:rsid w:val="00563190"/>
    <w:rsid w:val="005657A3"/>
    <w:rsid w:val="0056632D"/>
    <w:rsid w:val="00567E51"/>
    <w:rsid w:val="00571ED2"/>
    <w:rsid w:val="005740CC"/>
    <w:rsid w:val="00574F0D"/>
    <w:rsid w:val="00575130"/>
    <w:rsid w:val="005764AF"/>
    <w:rsid w:val="00580086"/>
    <w:rsid w:val="00582E33"/>
    <w:rsid w:val="00583820"/>
    <w:rsid w:val="00586406"/>
    <w:rsid w:val="00587C33"/>
    <w:rsid w:val="00587DD8"/>
    <w:rsid w:val="00587FA3"/>
    <w:rsid w:val="00590F94"/>
    <w:rsid w:val="005926C5"/>
    <w:rsid w:val="005927DB"/>
    <w:rsid w:val="00593091"/>
    <w:rsid w:val="00595A24"/>
    <w:rsid w:val="005A0C3C"/>
    <w:rsid w:val="005A13F9"/>
    <w:rsid w:val="005A15FA"/>
    <w:rsid w:val="005A3508"/>
    <w:rsid w:val="005A4CC3"/>
    <w:rsid w:val="005A63F8"/>
    <w:rsid w:val="005B0567"/>
    <w:rsid w:val="005B0FC2"/>
    <w:rsid w:val="005B1421"/>
    <w:rsid w:val="005B49D6"/>
    <w:rsid w:val="005B70BF"/>
    <w:rsid w:val="005B77D6"/>
    <w:rsid w:val="005C054E"/>
    <w:rsid w:val="005C1AD6"/>
    <w:rsid w:val="005C1C5D"/>
    <w:rsid w:val="005C3F1F"/>
    <w:rsid w:val="005C48AA"/>
    <w:rsid w:val="005C7CBA"/>
    <w:rsid w:val="005D1C90"/>
    <w:rsid w:val="005D3DBA"/>
    <w:rsid w:val="005D45E2"/>
    <w:rsid w:val="005D720E"/>
    <w:rsid w:val="005E0B30"/>
    <w:rsid w:val="005E0DB7"/>
    <w:rsid w:val="005E1060"/>
    <w:rsid w:val="005E1DDF"/>
    <w:rsid w:val="005F158F"/>
    <w:rsid w:val="005F1B65"/>
    <w:rsid w:val="005F2FD7"/>
    <w:rsid w:val="005F2FDC"/>
    <w:rsid w:val="005F5C20"/>
    <w:rsid w:val="005F6710"/>
    <w:rsid w:val="005F6C0D"/>
    <w:rsid w:val="006025CE"/>
    <w:rsid w:val="006025D7"/>
    <w:rsid w:val="006036A4"/>
    <w:rsid w:val="00606757"/>
    <w:rsid w:val="006115CF"/>
    <w:rsid w:val="00612B8A"/>
    <w:rsid w:val="006151AB"/>
    <w:rsid w:val="0061788D"/>
    <w:rsid w:val="00620B3F"/>
    <w:rsid w:val="00630EF6"/>
    <w:rsid w:val="00634EAA"/>
    <w:rsid w:val="00637E25"/>
    <w:rsid w:val="006400DE"/>
    <w:rsid w:val="006403AB"/>
    <w:rsid w:val="0064516A"/>
    <w:rsid w:val="00646F83"/>
    <w:rsid w:val="006471F0"/>
    <w:rsid w:val="00647621"/>
    <w:rsid w:val="00647F9E"/>
    <w:rsid w:val="00650FA7"/>
    <w:rsid w:val="00653F94"/>
    <w:rsid w:val="00656AB7"/>
    <w:rsid w:val="00661317"/>
    <w:rsid w:val="00661804"/>
    <w:rsid w:val="00661EE0"/>
    <w:rsid w:val="00662B72"/>
    <w:rsid w:val="00663D77"/>
    <w:rsid w:val="00666502"/>
    <w:rsid w:val="006678B6"/>
    <w:rsid w:val="00671C01"/>
    <w:rsid w:val="006726BB"/>
    <w:rsid w:val="006738E2"/>
    <w:rsid w:val="00674611"/>
    <w:rsid w:val="006767A5"/>
    <w:rsid w:val="00677E82"/>
    <w:rsid w:val="00681960"/>
    <w:rsid w:val="006828D8"/>
    <w:rsid w:val="0068372B"/>
    <w:rsid w:val="00683BC2"/>
    <w:rsid w:val="00684BE4"/>
    <w:rsid w:val="0068565C"/>
    <w:rsid w:val="0069075D"/>
    <w:rsid w:val="006922ED"/>
    <w:rsid w:val="006969AE"/>
    <w:rsid w:val="00697146"/>
    <w:rsid w:val="006A1485"/>
    <w:rsid w:val="006A2BCB"/>
    <w:rsid w:val="006A3473"/>
    <w:rsid w:val="006A3D4A"/>
    <w:rsid w:val="006A50EC"/>
    <w:rsid w:val="006A6799"/>
    <w:rsid w:val="006A7A79"/>
    <w:rsid w:val="006B434D"/>
    <w:rsid w:val="006B67B3"/>
    <w:rsid w:val="006C0C62"/>
    <w:rsid w:val="006C2491"/>
    <w:rsid w:val="006C2C90"/>
    <w:rsid w:val="006C36D7"/>
    <w:rsid w:val="006C3DAC"/>
    <w:rsid w:val="006C4F37"/>
    <w:rsid w:val="006C5B94"/>
    <w:rsid w:val="006C7C57"/>
    <w:rsid w:val="006D1D51"/>
    <w:rsid w:val="006D5E0A"/>
    <w:rsid w:val="006D61C9"/>
    <w:rsid w:val="006D771B"/>
    <w:rsid w:val="006E7940"/>
    <w:rsid w:val="006E7BCA"/>
    <w:rsid w:val="006F2471"/>
    <w:rsid w:val="006F344F"/>
    <w:rsid w:val="006F3E63"/>
    <w:rsid w:val="006F3FBA"/>
    <w:rsid w:val="006F47F9"/>
    <w:rsid w:val="006F5AA5"/>
    <w:rsid w:val="006F5AAD"/>
    <w:rsid w:val="006F5B36"/>
    <w:rsid w:val="006F5D22"/>
    <w:rsid w:val="006F64F6"/>
    <w:rsid w:val="006F7A2B"/>
    <w:rsid w:val="0070083D"/>
    <w:rsid w:val="00701576"/>
    <w:rsid w:val="00703CD4"/>
    <w:rsid w:val="007070D1"/>
    <w:rsid w:val="007073C1"/>
    <w:rsid w:val="00707EDA"/>
    <w:rsid w:val="00710E2F"/>
    <w:rsid w:val="00711D7B"/>
    <w:rsid w:val="00713667"/>
    <w:rsid w:val="00715573"/>
    <w:rsid w:val="00715EC8"/>
    <w:rsid w:val="007205B5"/>
    <w:rsid w:val="00720C70"/>
    <w:rsid w:val="007217FA"/>
    <w:rsid w:val="007223DC"/>
    <w:rsid w:val="00722679"/>
    <w:rsid w:val="00725075"/>
    <w:rsid w:val="00725707"/>
    <w:rsid w:val="00731051"/>
    <w:rsid w:val="00731CDD"/>
    <w:rsid w:val="00732021"/>
    <w:rsid w:val="007328FD"/>
    <w:rsid w:val="00732AF7"/>
    <w:rsid w:val="00734088"/>
    <w:rsid w:val="00734953"/>
    <w:rsid w:val="00735860"/>
    <w:rsid w:val="00737125"/>
    <w:rsid w:val="007379DF"/>
    <w:rsid w:val="00737AC8"/>
    <w:rsid w:val="00743260"/>
    <w:rsid w:val="00743CD0"/>
    <w:rsid w:val="007468FC"/>
    <w:rsid w:val="0075002C"/>
    <w:rsid w:val="0075119B"/>
    <w:rsid w:val="00753A82"/>
    <w:rsid w:val="007563FB"/>
    <w:rsid w:val="00756966"/>
    <w:rsid w:val="007606B3"/>
    <w:rsid w:val="0076281A"/>
    <w:rsid w:val="00763560"/>
    <w:rsid w:val="00763C45"/>
    <w:rsid w:val="00764C7F"/>
    <w:rsid w:val="007651E1"/>
    <w:rsid w:val="00765DE7"/>
    <w:rsid w:val="0077549C"/>
    <w:rsid w:val="0077582E"/>
    <w:rsid w:val="0077707A"/>
    <w:rsid w:val="007811CE"/>
    <w:rsid w:val="007817B7"/>
    <w:rsid w:val="0078200D"/>
    <w:rsid w:val="007839D8"/>
    <w:rsid w:val="007845D2"/>
    <w:rsid w:val="007849EE"/>
    <w:rsid w:val="007869E8"/>
    <w:rsid w:val="00786B4C"/>
    <w:rsid w:val="00791BC2"/>
    <w:rsid w:val="00791E09"/>
    <w:rsid w:val="00793609"/>
    <w:rsid w:val="007939A1"/>
    <w:rsid w:val="00797B96"/>
    <w:rsid w:val="007A111D"/>
    <w:rsid w:val="007A5000"/>
    <w:rsid w:val="007A5EB4"/>
    <w:rsid w:val="007A6E0E"/>
    <w:rsid w:val="007B2C40"/>
    <w:rsid w:val="007B349C"/>
    <w:rsid w:val="007B3704"/>
    <w:rsid w:val="007B681E"/>
    <w:rsid w:val="007B6910"/>
    <w:rsid w:val="007B69A6"/>
    <w:rsid w:val="007B6DC9"/>
    <w:rsid w:val="007B7124"/>
    <w:rsid w:val="007B736B"/>
    <w:rsid w:val="007B76BE"/>
    <w:rsid w:val="007C5D03"/>
    <w:rsid w:val="007C6C87"/>
    <w:rsid w:val="007C6F60"/>
    <w:rsid w:val="007D184E"/>
    <w:rsid w:val="007D2376"/>
    <w:rsid w:val="007D2923"/>
    <w:rsid w:val="007D3EE9"/>
    <w:rsid w:val="007D6A19"/>
    <w:rsid w:val="007E16BB"/>
    <w:rsid w:val="007E3436"/>
    <w:rsid w:val="007E35B1"/>
    <w:rsid w:val="007E7B72"/>
    <w:rsid w:val="007F05A3"/>
    <w:rsid w:val="007F2A8D"/>
    <w:rsid w:val="007F2B0F"/>
    <w:rsid w:val="007F6F4D"/>
    <w:rsid w:val="0080332B"/>
    <w:rsid w:val="00805A39"/>
    <w:rsid w:val="00805BAA"/>
    <w:rsid w:val="0080672A"/>
    <w:rsid w:val="0081017A"/>
    <w:rsid w:val="00810970"/>
    <w:rsid w:val="00812128"/>
    <w:rsid w:val="008135C4"/>
    <w:rsid w:val="00813EAA"/>
    <w:rsid w:val="0081483D"/>
    <w:rsid w:val="00815610"/>
    <w:rsid w:val="00816438"/>
    <w:rsid w:val="00817BD1"/>
    <w:rsid w:val="00817DBF"/>
    <w:rsid w:val="00817EAC"/>
    <w:rsid w:val="008201B9"/>
    <w:rsid w:val="0082088D"/>
    <w:rsid w:val="008208FF"/>
    <w:rsid w:val="00821B7A"/>
    <w:rsid w:val="008229CC"/>
    <w:rsid w:val="008236A7"/>
    <w:rsid w:val="008244E6"/>
    <w:rsid w:val="00825710"/>
    <w:rsid w:val="00825A3D"/>
    <w:rsid w:val="00827D96"/>
    <w:rsid w:val="008300C8"/>
    <w:rsid w:val="00831772"/>
    <w:rsid w:val="00834331"/>
    <w:rsid w:val="00836154"/>
    <w:rsid w:val="0083666A"/>
    <w:rsid w:val="00837457"/>
    <w:rsid w:val="0084161A"/>
    <w:rsid w:val="0084187F"/>
    <w:rsid w:val="008420B8"/>
    <w:rsid w:val="008422DB"/>
    <w:rsid w:val="00844A8A"/>
    <w:rsid w:val="00846257"/>
    <w:rsid w:val="0084675C"/>
    <w:rsid w:val="008468C0"/>
    <w:rsid w:val="00847655"/>
    <w:rsid w:val="00850707"/>
    <w:rsid w:val="00851834"/>
    <w:rsid w:val="0085194E"/>
    <w:rsid w:val="00852703"/>
    <w:rsid w:val="00853598"/>
    <w:rsid w:val="00853C78"/>
    <w:rsid w:val="00854D13"/>
    <w:rsid w:val="00856572"/>
    <w:rsid w:val="00857E5E"/>
    <w:rsid w:val="00861E3E"/>
    <w:rsid w:val="00863378"/>
    <w:rsid w:val="0086421B"/>
    <w:rsid w:val="00870E03"/>
    <w:rsid w:val="00872B56"/>
    <w:rsid w:val="00872FF7"/>
    <w:rsid w:val="008742DA"/>
    <w:rsid w:val="00874753"/>
    <w:rsid w:val="0087569C"/>
    <w:rsid w:val="00876741"/>
    <w:rsid w:val="008818A3"/>
    <w:rsid w:val="0088283B"/>
    <w:rsid w:val="00883B5A"/>
    <w:rsid w:val="00885F68"/>
    <w:rsid w:val="008875E3"/>
    <w:rsid w:val="00892508"/>
    <w:rsid w:val="008933EB"/>
    <w:rsid w:val="00895FE2"/>
    <w:rsid w:val="008963B9"/>
    <w:rsid w:val="008A0B3A"/>
    <w:rsid w:val="008A11B2"/>
    <w:rsid w:val="008A2D43"/>
    <w:rsid w:val="008A3DA5"/>
    <w:rsid w:val="008A43ED"/>
    <w:rsid w:val="008B2C94"/>
    <w:rsid w:val="008B3486"/>
    <w:rsid w:val="008B35B0"/>
    <w:rsid w:val="008B48F8"/>
    <w:rsid w:val="008B65A1"/>
    <w:rsid w:val="008B7906"/>
    <w:rsid w:val="008C0A8C"/>
    <w:rsid w:val="008C57B9"/>
    <w:rsid w:val="008C6529"/>
    <w:rsid w:val="008C747C"/>
    <w:rsid w:val="008D0DDC"/>
    <w:rsid w:val="008D3198"/>
    <w:rsid w:val="008D42A9"/>
    <w:rsid w:val="008D61C4"/>
    <w:rsid w:val="008D6357"/>
    <w:rsid w:val="008D6481"/>
    <w:rsid w:val="008D79CA"/>
    <w:rsid w:val="008E012E"/>
    <w:rsid w:val="008E12A7"/>
    <w:rsid w:val="008E1560"/>
    <w:rsid w:val="008E17DB"/>
    <w:rsid w:val="008E2EEC"/>
    <w:rsid w:val="008E4278"/>
    <w:rsid w:val="008E42D8"/>
    <w:rsid w:val="008E51E6"/>
    <w:rsid w:val="008E5889"/>
    <w:rsid w:val="008E6B7D"/>
    <w:rsid w:val="008E6B85"/>
    <w:rsid w:val="008E77EC"/>
    <w:rsid w:val="008E7D0B"/>
    <w:rsid w:val="008F1DA1"/>
    <w:rsid w:val="008F3496"/>
    <w:rsid w:val="008F63A1"/>
    <w:rsid w:val="008F6EB1"/>
    <w:rsid w:val="009012E2"/>
    <w:rsid w:val="00904821"/>
    <w:rsid w:val="00904C01"/>
    <w:rsid w:val="0091110F"/>
    <w:rsid w:val="009119DA"/>
    <w:rsid w:val="00911E91"/>
    <w:rsid w:val="009125E9"/>
    <w:rsid w:val="00916CE9"/>
    <w:rsid w:val="009203D9"/>
    <w:rsid w:val="00921F9B"/>
    <w:rsid w:val="00923B43"/>
    <w:rsid w:val="00924469"/>
    <w:rsid w:val="009246B8"/>
    <w:rsid w:val="009247C7"/>
    <w:rsid w:val="00924FD0"/>
    <w:rsid w:val="00926C71"/>
    <w:rsid w:val="00927258"/>
    <w:rsid w:val="0093107B"/>
    <w:rsid w:val="009314F0"/>
    <w:rsid w:val="00937133"/>
    <w:rsid w:val="009379D6"/>
    <w:rsid w:val="00943737"/>
    <w:rsid w:val="00943AC1"/>
    <w:rsid w:val="00944FB7"/>
    <w:rsid w:val="00944FBB"/>
    <w:rsid w:val="0094523A"/>
    <w:rsid w:val="00945EAE"/>
    <w:rsid w:val="00950A22"/>
    <w:rsid w:val="00954F4B"/>
    <w:rsid w:val="00957E99"/>
    <w:rsid w:val="00960599"/>
    <w:rsid w:val="00961AEC"/>
    <w:rsid w:val="00962CB6"/>
    <w:rsid w:val="009641ED"/>
    <w:rsid w:val="00965037"/>
    <w:rsid w:val="00966A34"/>
    <w:rsid w:val="00967E5C"/>
    <w:rsid w:val="00971CB0"/>
    <w:rsid w:val="00972756"/>
    <w:rsid w:val="0097323D"/>
    <w:rsid w:val="00975F6E"/>
    <w:rsid w:val="00980A06"/>
    <w:rsid w:val="00981114"/>
    <w:rsid w:val="00981254"/>
    <w:rsid w:val="0098225A"/>
    <w:rsid w:val="00984AFC"/>
    <w:rsid w:val="00984B60"/>
    <w:rsid w:val="00985D44"/>
    <w:rsid w:val="00985E60"/>
    <w:rsid w:val="009862C9"/>
    <w:rsid w:val="00987BB7"/>
    <w:rsid w:val="009905FC"/>
    <w:rsid w:val="00990B9B"/>
    <w:rsid w:val="0099169E"/>
    <w:rsid w:val="009928AF"/>
    <w:rsid w:val="00992FF1"/>
    <w:rsid w:val="00993D1D"/>
    <w:rsid w:val="0099474B"/>
    <w:rsid w:val="00994BBF"/>
    <w:rsid w:val="00994C7F"/>
    <w:rsid w:val="009A3D33"/>
    <w:rsid w:val="009A46D4"/>
    <w:rsid w:val="009A4811"/>
    <w:rsid w:val="009A495C"/>
    <w:rsid w:val="009A7A04"/>
    <w:rsid w:val="009B0B61"/>
    <w:rsid w:val="009B155D"/>
    <w:rsid w:val="009B67E4"/>
    <w:rsid w:val="009B697A"/>
    <w:rsid w:val="009C1864"/>
    <w:rsid w:val="009C4E1F"/>
    <w:rsid w:val="009C5070"/>
    <w:rsid w:val="009D0887"/>
    <w:rsid w:val="009D17A4"/>
    <w:rsid w:val="009D18F1"/>
    <w:rsid w:val="009D2C88"/>
    <w:rsid w:val="009D7807"/>
    <w:rsid w:val="009D7C93"/>
    <w:rsid w:val="009E0338"/>
    <w:rsid w:val="009E1832"/>
    <w:rsid w:val="009E2040"/>
    <w:rsid w:val="009E3F21"/>
    <w:rsid w:val="009E4BDD"/>
    <w:rsid w:val="009E4C6D"/>
    <w:rsid w:val="009E5A16"/>
    <w:rsid w:val="009F0233"/>
    <w:rsid w:val="009F1250"/>
    <w:rsid w:val="009F1DCC"/>
    <w:rsid w:val="009F3D0F"/>
    <w:rsid w:val="009F51F3"/>
    <w:rsid w:val="009F62E4"/>
    <w:rsid w:val="009F7E66"/>
    <w:rsid w:val="00A01542"/>
    <w:rsid w:val="00A0177C"/>
    <w:rsid w:val="00A02F80"/>
    <w:rsid w:val="00A0658B"/>
    <w:rsid w:val="00A07FE1"/>
    <w:rsid w:val="00A138ED"/>
    <w:rsid w:val="00A156A0"/>
    <w:rsid w:val="00A15C8E"/>
    <w:rsid w:val="00A15DA4"/>
    <w:rsid w:val="00A20F2F"/>
    <w:rsid w:val="00A21279"/>
    <w:rsid w:val="00A217A8"/>
    <w:rsid w:val="00A22042"/>
    <w:rsid w:val="00A272D7"/>
    <w:rsid w:val="00A272DD"/>
    <w:rsid w:val="00A306DA"/>
    <w:rsid w:val="00A31E82"/>
    <w:rsid w:val="00A320D8"/>
    <w:rsid w:val="00A326B6"/>
    <w:rsid w:val="00A35433"/>
    <w:rsid w:val="00A361F7"/>
    <w:rsid w:val="00A37A41"/>
    <w:rsid w:val="00A44538"/>
    <w:rsid w:val="00A45761"/>
    <w:rsid w:val="00A47804"/>
    <w:rsid w:val="00A47A3B"/>
    <w:rsid w:val="00A5198B"/>
    <w:rsid w:val="00A52894"/>
    <w:rsid w:val="00A537A0"/>
    <w:rsid w:val="00A60AF4"/>
    <w:rsid w:val="00A62065"/>
    <w:rsid w:val="00A64E67"/>
    <w:rsid w:val="00A65717"/>
    <w:rsid w:val="00A711BF"/>
    <w:rsid w:val="00A84704"/>
    <w:rsid w:val="00A8476B"/>
    <w:rsid w:val="00A86723"/>
    <w:rsid w:val="00A91B2C"/>
    <w:rsid w:val="00A91B7A"/>
    <w:rsid w:val="00A92167"/>
    <w:rsid w:val="00A92D3D"/>
    <w:rsid w:val="00A93CD0"/>
    <w:rsid w:val="00A94DE3"/>
    <w:rsid w:val="00A951C3"/>
    <w:rsid w:val="00A97803"/>
    <w:rsid w:val="00AA0D3B"/>
    <w:rsid w:val="00AA1789"/>
    <w:rsid w:val="00AA3820"/>
    <w:rsid w:val="00AA5AEE"/>
    <w:rsid w:val="00AA6ACA"/>
    <w:rsid w:val="00AA6DAE"/>
    <w:rsid w:val="00AB18EC"/>
    <w:rsid w:val="00AB32C1"/>
    <w:rsid w:val="00AB3BBB"/>
    <w:rsid w:val="00AC0914"/>
    <w:rsid w:val="00AC0E75"/>
    <w:rsid w:val="00AC2751"/>
    <w:rsid w:val="00AC7ADE"/>
    <w:rsid w:val="00AD059C"/>
    <w:rsid w:val="00AD3236"/>
    <w:rsid w:val="00AD572A"/>
    <w:rsid w:val="00AD63AB"/>
    <w:rsid w:val="00AD7B24"/>
    <w:rsid w:val="00AE02F0"/>
    <w:rsid w:val="00AE1A7D"/>
    <w:rsid w:val="00AE1ECB"/>
    <w:rsid w:val="00AE2811"/>
    <w:rsid w:val="00AE2FC8"/>
    <w:rsid w:val="00AE4D8B"/>
    <w:rsid w:val="00AF015B"/>
    <w:rsid w:val="00AF10B0"/>
    <w:rsid w:val="00AF167A"/>
    <w:rsid w:val="00AF3C69"/>
    <w:rsid w:val="00AF40AC"/>
    <w:rsid w:val="00AF4600"/>
    <w:rsid w:val="00B014ED"/>
    <w:rsid w:val="00B01829"/>
    <w:rsid w:val="00B02071"/>
    <w:rsid w:val="00B026E3"/>
    <w:rsid w:val="00B03DA0"/>
    <w:rsid w:val="00B067FF"/>
    <w:rsid w:val="00B10B33"/>
    <w:rsid w:val="00B11A72"/>
    <w:rsid w:val="00B13124"/>
    <w:rsid w:val="00B146C9"/>
    <w:rsid w:val="00B15702"/>
    <w:rsid w:val="00B1726C"/>
    <w:rsid w:val="00B17666"/>
    <w:rsid w:val="00B17696"/>
    <w:rsid w:val="00B20E17"/>
    <w:rsid w:val="00B213C8"/>
    <w:rsid w:val="00B23594"/>
    <w:rsid w:val="00B273AB"/>
    <w:rsid w:val="00B3107A"/>
    <w:rsid w:val="00B32A19"/>
    <w:rsid w:val="00B352D7"/>
    <w:rsid w:val="00B35872"/>
    <w:rsid w:val="00B36245"/>
    <w:rsid w:val="00B401EF"/>
    <w:rsid w:val="00B41911"/>
    <w:rsid w:val="00B420B7"/>
    <w:rsid w:val="00B439F0"/>
    <w:rsid w:val="00B44693"/>
    <w:rsid w:val="00B46A11"/>
    <w:rsid w:val="00B47152"/>
    <w:rsid w:val="00B47544"/>
    <w:rsid w:val="00B50724"/>
    <w:rsid w:val="00B57EDB"/>
    <w:rsid w:val="00B60619"/>
    <w:rsid w:val="00B6537E"/>
    <w:rsid w:val="00B67DDE"/>
    <w:rsid w:val="00B71E62"/>
    <w:rsid w:val="00B750CC"/>
    <w:rsid w:val="00B753A6"/>
    <w:rsid w:val="00B758BA"/>
    <w:rsid w:val="00B75A2E"/>
    <w:rsid w:val="00B77A1E"/>
    <w:rsid w:val="00B812E8"/>
    <w:rsid w:val="00B854A8"/>
    <w:rsid w:val="00B85566"/>
    <w:rsid w:val="00B86B42"/>
    <w:rsid w:val="00B91ACB"/>
    <w:rsid w:val="00B92175"/>
    <w:rsid w:val="00B92C90"/>
    <w:rsid w:val="00B93595"/>
    <w:rsid w:val="00B94785"/>
    <w:rsid w:val="00B96196"/>
    <w:rsid w:val="00B967B5"/>
    <w:rsid w:val="00B979F6"/>
    <w:rsid w:val="00BA1E2F"/>
    <w:rsid w:val="00BA3741"/>
    <w:rsid w:val="00BA479E"/>
    <w:rsid w:val="00BA4886"/>
    <w:rsid w:val="00BA6096"/>
    <w:rsid w:val="00BA666A"/>
    <w:rsid w:val="00BB3161"/>
    <w:rsid w:val="00BB63AD"/>
    <w:rsid w:val="00BC070B"/>
    <w:rsid w:val="00BC11E9"/>
    <w:rsid w:val="00BC1C95"/>
    <w:rsid w:val="00BC30ED"/>
    <w:rsid w:val="00BC3A37"/>
    <w:rsid w:val="00BC3C86"/>
    <w:rsid w:val="00BC41A6"/>
    <w:rsid w:val="00BC4C7E"/>
    <w:rsid w:val="00BC5F80"/>
    <w:rsid w:val="00BC66CE"/>
    <w:rsid w:val="00BD0658"/>
    <w:rsid w:val="00BD0B08"/>
    <w:rsid w:val="00BD186C"/>
    <w:rsid w:val="00BD2301"/>
    <w:rsid w:val="00BD4F1F"/>
    <w:rsid w:val="00BD5159"/>
    <w:rsid w:val="00BD7CFC"/>
    <w:rsid w:val="00BE0A13"/>
    <w:rsid w:val="00BE10F8"/>
    <w:rsid w:val="00BE143D"/>
    <w:rsid w:val="00BE2D26"/>
    <w:rsid w:val="00BE3C6C"/>
    <w:rsid w:val="00BF189D"/>
    <w:rsid w:val="00BF47FE"/>
    <w:rsid w:val="00BF5624"/>
    <w:rsid w:val="00BF5FCD"/>
    <w:rsid w:val="00BF7AA9"/>
    <w:rsid w:val="00C00DEE"/>
    <w:rsid w:val="00C03722"/>
    <w:rsid w:val="00C045D0"/>
    <w:rsid w:val="00C05521"/>
    <w:rsid w:val="00C05AC4"/>
    <w:rsid w:val="00C06FAF"/>
    <w:rsid w:val="00C119EA"/>
    <w:rsid w:val="00C159BE"/>
    <w:rsid w:val="00C21A48"/>
    <w:rsid w:val="00C2330D"/>
    <w:rsid w:val="00C2445C"/>
    <w:rsid w:val="00C24742"/>
    <w:rsid w:val="00C25079"/>
    <w:rsid w:val="00C26301"/>
    <w:rsid w:val="00C26C18"/>
    <w:rsid w:val="00C2735C"/>
    <w:rsid w:val="00C30EC6"/>
    <w:rsid w:val="00C312F2"/>
    <w:rsid w:val="00C31927"/>
    <w:rsid w:val="00C34C12"/>
    <w:rsid w:val="00C35380"/>
    <w:rsid w:val="00C36D94"/>
    <w:rsid w:val="00C36F85"/>
    <w:rsid w:val="00C4050F"/>
    <w:rsid w:val="00C41AAC"/>
    <w:rsid w:val="00C421E6"/>
    <w:rsid w:val="00C42CBC"/>
    <w:rsid w:val="00C43DE7"/>
    <w:rsid w:val="00C44819"/>
    <w:rsid w:val="00C456B7"/>
    <w:rsid w:val="00C456FE"/>
    <w:rsid w:val="00C51A00"/>
    <w:rsid w:val="00C538D1"/>
    <w:rsid w:val="00C55CF7"/>
    <w:rsid w:val="00C62850"/>
    <w:rsid w:val="00C64FD4"/>
    <w:rsid w:val="00C65026"/>
    <w:rsid w:val="00C65977"/>
    <w:rsid w:val="00C7094C"/>
    <w:rsid w:val="00C711DF"/>
    <w:rsid w:val="00C71D4A"/>
    <w:rsid w:val="00C72950"/>
    <w:rsid w:val="00C73146"/>
    <w:rsid w:val="00C74376"/>
    <w:rsid w:val="00C74EEE"/>
    <w:rsid w:val="00C76883"/>
    <w:rsid w:val="00C8276A"/>
    <w:rsid w:val="00C84672"/>
    <w:rsid w:val="00C84DD1"/>
    <w:rsid w:val="00C879B6"/>
    <w:rsid w:val="00C87AB5"/>
    <w:rsid w:val="00C9002B"/>
    <w:rsid w:val="00C90AA6"/>
    <w:rsid w:val="00C91C58"/>
    <w:rsid w:val="00C927DF"/>
    <w:rsid w:val="00C92DC6"/>
    <w:rsid w:val="00C92EF2"/>
    <w:rsid w:val="00C93876"/>
    <w:rsid w:val="00CA136B"/>
    <w:rsid w:val="00CA18A2"/>
    <w:rsid w:val="00CA1DCC"/>
    <w:rsid w:val="00CA29FB"/>
    <w:rsid w:val="00CA2B6C"/>
    <w:rsid w:val="00CA378A"/>
    <w:rsid w:val="00CA7AB1"/>
    <w:rsid w:val="00CA7C54"/>
    <w:rsid w:val="00CB00C3"/>
    <w:rsid w:val="00CB6A1F"/>
    <w:rsid w:val="00CB6CAD"/>
    <w:rsid w:val="00CB7001"/>
    <w:rsid w:val="00CC1152"/>
    <w:rsid w:val="00CC325C"/>
    <w:rsid w:val="00CC7958"/>
    <w:rsid w:val="00CC7D8B"/>
    <w:rsid w:val="00CC7EE5"/>
    <w:rsid w:val="00CD11D5"/>
    <w:rsid w:val="00CD51E6"/>
    <w:rsid w:val="00CD6097"/>
    <w:rsid w:val="00CE0C64"/>
    <w:rsid w:val="00CE0D1B"/>
    <w:rsid w:val="00CE0E40"/>
    <w:rsid w:val="00CE2679"/>
    <w:rsid w:val="00CE2693"/>
    <w:rsid w:val="00CE26DE"/>
    <w:rsid w:val="00CE2BD9"/>
    <w:rsid w:val="00CE4E99"/>
    <w:rsid w:val="00CE6A2E"/>
    <w:rsid w:val="00CE6AEE"/>
    <w:rsid w:val="00CE7985"/>
    <w:rsid w:val="00CF0B61"/>
    <w:rsid w:val="00CF0D74"/>
    <w:rsid w:val="00CF1AE9"/>
    <w:rsid w:val="00CF34C3"/>
    <w:rsid w:val="00CF4E9A"/>
    <w:rsid w:val="00CF6569"/>
    <w:rsid w:val="00D00241"/>
    <w:rsid w:val="00D01152"/>
    <w:rsid w:val="00D03086"/>
    <w:rsid w:val="00D036D1"/>
    <w:rsid w:val="00D03DD3"/>
    <w:rsid w:val="00D07BC3"/>
    <w:rsid w:val="00D10D5E"/>
    <w:rsid w:val="00D110C7"/>
    <w:rsid w:val="00D137AC"/>
    <w:rsid w:val="00D13984"/>
    <w:rsid w:val="00D1461B"/>
    <w:rsid w:val="00D1725E"/>
    <w:rsid w:val="00D17F76"/>
    <w:rsid w:val="00D200E3"/>
    <w:rsid w:val="00D21BD2"/>
    <w:rsid w:val="00D23D79"/>
    <w:rsid w:val="00D24D72"/>
    <w:rsid w:val="00D25B91"/>
    <w:rsid w:val="00D3134C"/>
    <w:rsid w:val="00D31FFA"/>
    <w:rsid w:val="00D34ACC"/>
    <w:rsid w:val="00D3518F"/>
    <w:rsid w:val="00D37184"/>
    <w:rsid w:val="00D37402"/>
    <w:rsid w:val="00D3744D"/>
    <w:rsid w:val="00D458A6"/>
    <w:rsid w:val="00D463CA"/>
    <w:rsid w:val="00D51955"/>
    <w:rsid w:val="00D52D54"/>
    <w:rsid w:val="00D52D87"/>
    <w:rsid w:val="00D532D0"/>
    <w:rsid w:val="00D534A0"/>
    <w:rsid w:val="00D54C0C"/>
    <w:rsid w:val="00D552C4"/>
    <w:rsid w:val="00D55F83"/>
    <w:rsid w:val="00D5728E"/>
    <w:rsid w:val="00D57B2B"/>
    <w:rsid w:val="00D60090"/>
    <w:rsid w:val="00D60303"/>
    <w:rsid w:val="00D60C39"/>
    <w:rsid w:val="00D61082"/>
    <w:rsid w:val="00D61434"/>
    <w:rsid w:val="00D630AC"/>
    <w:rsid w:val="00D6398C"/>
    <w:rsid w:val="00D6426D"/>
    <w:rsid w:val="00D662C7"/>
    <w:rsid w:val="00D705C4"/>
    <w:rsid w:val="00D71650"/>
    <w:rsid w:val="00D7205A"/>
    <w:rsid w:val="00D735F2"/>
    <w:rsid w:val="00D76110"/>
    <w:rsid w:val="00D80D22"/>
    <w:rsid w:val="00D80E59"/>
    <w:rsid w:val="00D81C02"/>
    <w:rsid w:val="00D8643C"/>
    <w:rsid w:val="00D8664E"/>
    <w:rsid w:val="00D86D0D"/>
    <w:rsid w:val="00D87A47"/>
    <w:rsid w:val="00D91272"/>
    <w:rsid w:val="00D914BA"/>
    <w:rsid w:val="00D91FE0"/>
    <w:rsid w:val="00D92C4E"/>
    <w:rsid w:val="00D93DE9"/>
    <w:rsid w:val="00D94576"/>
    <w:rsid w:val="00D96EB8"/>
    <w:rsid w:val="00DA06E4"/>
    <w:rsid w:val="00DA0B6F"/>
    <w:rsid w:val="00DA3E69"/>
    <w:rsid w:val="00DA57DE"/>
    <w:rsid w:val="00DB14DF"/>
    <w:rsid w:val="00DB3EC2"/>
    <w:rsid w:val="00DC0931"/>
    <w:rsid w:val="00DC2CA7"/>
    <w:rsid w:val="00DC56AC"/>
    <w:rsid w:val="00DC5AAB"/>
    <w:rsid w:val="00DC7AB9"/>
    <w:rsid w:val="00DD1059"/>
    <w:rsid w:val="00DD1BE5"/>
    <w:rsid w:val="00DD2F09"/>
    <w:rsid w:val="00DD6632"/>
    <w:rsid w:val="00DD679B"/>
    <w:rsid w:val="00DD6F00"/>
    <w:rsid w:val="00DE086D"/>
    <w:rsid w:val="00DE0E27"/>
    <w:rsid w:val="00DE685D"/>
    <w:rsid w:val="00DF108B"/>
    <w:rsid w:val="00DF1128"/>
    <w:rsid w:val="00DF3A8D"/>
    <w:rsid w:val="00DF47E2"/>
    <w:rsid w:val="00E0323E"/>
    <w:rsid w:val="00E03537"/>
    <w:rsid w:val="00E0369C"/>
    <w:rsid w:val="00E04831"/>
    <w:rsid w:val="00E06706"/>
    <w:rsid w:val="00E0685E"/>
    <w:rsid w:val="00E07C7B"/>
    <w:rsid w:val="00E107DA"/>
    <w:rsid w:val="00E14456"/>
    <w:rsid w:val="00E14496"/>
    <w:rsid w:val="00E14BA3"/>
    <w:rsid w:val="00E15A9C"/>
    <w:rsid w:val="00E244CB"/>
    <w:rsid w:val="00E24541"/>
    <w:rsid w:val="00E251D2"/>
    <w:rsid w:val="00E26969"/>
    <w:rsid w:val="00E30B27"/>
    <w:rsid w:val="00E313BF"/>
    <w:rsid w:val="00E31EF8"/>
    <w:rsid w:val="00E331E5"/>
    <w:rsid w:val="00E33299"/>
    <w:rsid w:val="00E34515"/>
    <w:rsid w:val="00E3618C"/>
    <w:rsid w:val="00E36417"/>
    <w:rsid w:val="00E41B3F"/>
    <w:rsid w:val="00E42464"/>
    <w:rsid w:val="00E42FB2"/>
    <w:rsid w:val="00E43BEA"/>
    <w:rsid w:val="00E46086"/>
    <w:rsid w:val="00E47E94"/>
    <w:rsid w:val="00E52075"/>
    <w:rsid w:val="00E53C23"/>
    <w:rsid w:val="00E567C7"/>
    <w:rsid w:val="00E57E0C"/>
    <w:rsid w:val="00E605F0"/>
    <w:rsid w:val="00E621D7"/>
    <w:rsid w:val="00E6305A"/>
    <w:rsid w:val="00E63141"/>
    <w:rsid w:val="00E67913"/>
    <w:rsid w:val="00E67CC9"/>
    <w:rsid w:val="00E67ED1"/>
    <w:rsid w:val="00E711CF"/>
    <w:rsid w:val="00E74570"/>
    <w:rsid w:val="00E74B43"/>
    <w:rsid w:val="00E76AD6"/>
    <w:rsid w:val="00E80562"/>
    <w:rsid w:val="00E81679"/>
    <w:rsid w:val="00E840D3"/>
    <w:rsid w:val="00E846FE"/>
    <w:rsid w:val="00E851EA"/>
    <w:rsid w:val="00E859B2"/>
    <w:rsid w:val="00E8777B"/>
    <w:rsid w:val="00E91099"/>
    <w:rsid w:val="00E91862"/>
    <w:rsid w:val="00E93FAE"/>
    <w:rsid w:val="00E94F88"/>
    <w:rsid w:val="00E9575E"/>
    <w:rsid w:val="00E96237"/>
    <w:rsid w:val="00E976B5"/>
    <w:rsid w:val="00E97D47"/>
    <w:rsid w:val="00EA0261"/>
    <w:rsid w:val="00EA07D1"/>
    <w:rsid w:val="00EA1E12"/>
    <w:rsid w:val="00EA25C9"/>
    <w:rsid w:val="00EA776A"/>
    <w:rsid w:val="00EB0614"/>
    <w:rsid w:val="00EB0971"/>
    <w:rsid w:val="00EB1C0C"/>
    <w:rsid w:val="00EB1CFC"/>
    <w:rsid w:val="00EB24DC"/>
    <w:rsid w:val="00EB2E57"/>
    <w:rsid w:val="00EB48F6"/>
    <w:rsid w:val="00EB70A2"/>
    <w:rsid w:val="00EC3D1D"/>
    <w:rsid w:val="00EC3D49"/>
    <w:rsid w:val="00EC3D76"/>
    <w:rsid w:val="00EC65FD"/>
    <w:rsid w:val="00EC6A80"/>
    <w:rsid w:val="00EC6F8F"/>
    <w:rsid w:val="00ED0B2B"/>
    <w:rsid w:val="00ED0FE5"/>
    <w:rsid w:val="00ED1505"/>
    <w:rsid w:val="00ED2046"/>
    <w:rsid w:val="00ED30AE"/>
    <w:rsid w:val="00ED4B4D"/>
    <w:rsid w:val="00ED59DE"/>
    <w:rsid w:val="00EE1D99"/>
    <w:rsid w:val="00EE362A"/>
    <w:rsid w:val="00EE593A"/>
    <w:rsid w:val="00EE5994"/>
    <w:rsid w:val="00EF17F6"/>
    <w:rsid w:val="00EF20FF"/>
    <w:rsid w:val="00EF4F2F"/>
    <w:rsid w:val="00EF7AC8"/>
    <w:rsid w:val="00F0021E"/>
    <w:rsid w:val="00F01444"/>
    <w:rsid w:val="00F0147D"/>
    <w:rsid w:val="00F135AD"/>
    <w:rsid w:val="00F13BCA"/>
    <w:rsid w:val="00F16DD9"/>
    <w:rsid w:val="00F17875"/>
    <w:rsid w:val="00F22CB6"/>
    <w:rsid w:val="00F23091"/>
    <w:rsid w:val="00F244F1"/>
    <w:rsid w:val="00F24C3F"/>
    <w:rsid w:val="00F25904"/>
    <w:rsid w:val="00F276C6"/>
    <w:rsid w:val="00F30EE7"/>
    <w:rsid w:val="00F315D3"/>
    <w:rsid w:val="00F327F2"/>
    <w:rsid w:val="00F359FD"/>
    <w:rsid w:val="00F43A5F"/>
    <w:rsid w:val="00F43D80"/>
    <w:rsid w:val="00F4502A"/>
    <w:rsid w:val="00F45932"/>
    <w:rsid w:val="00F45C13"/>
    <w:rsid w:val="00F47810"/>
    <w:rsid w:val="00F53E9F"/>
    <w:rsid w:val="00F551A4"/>
    <w:rsid w:val="00F55503"/>
    <w:rsid w:val="00F558FF"/>
    <w:rsid w:val="00F625A2"/>
    <w:rsid w:val="00F6283D"/>
    <w:rsid w:val="00F63682"/>
    <w:rsid w:val="00F641C6"/>
    <w:rsid w:val="00F65054"/>
    <w:rsid w:val="00F657F2"/>
    <w:rsid w:val="00F67BE2"/>
    <w:rsid w:val="00F71E8A"/>
    <w:rsid w:val="00F750F5"/>
    <w:rsid w:val="00F7709E"/>
    <w:rsid w:val="00F8073E"/>
    <w:rsid w:val="00F808A2"/>
    <w:rsid w:val="00F80D17"/>
    <w:rsid w:val="00F86A88"/>
    <w:rsid w:val="00F91360"/>
    <w:rsid w:val="00F92573"/>
    <w:rsid w:val="00F93F1C"/>
    <w:rsid w:val="00F95544"/>
    <w:rsid w:val="00F96BBF"/>
    <w:rsid w:val="00FA1926"/>
    <w:rsid w:val="00FA569D"/>
    <w:rsid w:val="00FA6A0F"/>
    <w:rsid w:val="00FA6FC4"/>
    <w:rsid w:val="00FB0F96"/>
    <w:rsid w:val="00FB0FFA"/>
    <w:rsid w:val="00FB598A"/>
    <w:rsid w:val="00FB5CB0"/>
    <w:rsid w:val="00FB6453"/>
    <w:rsid w:val="00FB73B8"/>
    <w:rsid w:val="00FB76AD"/>
    <w:rsid w:val="00FB7F0B"/>
    <w:rsid w:val="00FC0037"/>
    <w:rsid w:val="00FC39CB"/>
    <w:rsid w:val="00FC5C3C"/>
    <w:rsid w:val="00FC62BE"/>
    <w:rsid w:val="00FC649E"/>
    <w:rsid w:val="00FC7926"/>
    <w:rsid w:val="00FD0111"/>
    <w:rsid w:val="00FD0D91"/>
    <w:rsid w:val="00FD2CC7"/>
    <w:rsid w:val="00FD2D22"/>
    <w:rsid w:val="00FD4F1C"/>
    <w:rsid w:val="00FE2E2F"/>
    <w:rsid w:val="00FE4DA4"/>
    <w:rsid w:val="00FE5227"/>
    <w:rsid w:val="00FE59C7"/>
    <w:rsid w:val="00FE7308"/>
    <w:rsid w:val="00FF0458"/>
    <w:rsid w:val="00FF055B"/>
    <w:rsid w:val="00FF0D06"/>
    <w:rsid w:val="00FF1728"/>
    <w:rsid w:val="00FF4B93"/>
    <w:rsid w:val="00FF4EC7"/>
    <w:rsid w:val="00FF4EF6"/>
    <w:rsid w:val="00FF5ECC"/>
    <w:rsid w:val="00FF64AB"/>
    <w:rsid w:val="00FF6F6B"/>
    <w:rsid w:val="00FF7D9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0757D4"/>
  <w15:docId w15:val="{9E47D045-0183-4EBF-BF6B-3DDE301B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F5AAD"/>
    <w:pPr>
      <w:spacing w:before="60" w:line="300" w:lineRule="exact"/>
      <w:ind w:firstLine="284"/>
      <w:jc w:val="both"/>
    </w:pPr>
    <w:rPr>
      <w:rFonts w:ascii="Arial" w:hAnsi="Arial"/>
      <w:sz w:val="22"/>
    </w:rPr>
  </w:style>
  <w:style w:type="paragraph" w:styleId="Titolo1">
    <w:name w:val="heading 1"/>
    <w:basedOn w:val="Normale"/>
    <w:next w:val="Normale"/>
    <w:qFormat/>
    <w:rsid w:val="00B20E17"/>
    <w:pPr>
      <w:keepNext/>
      <w:spacing w:after="300" w:line="240" w:lineRule="atLeast"/>
      <w:ind w:firstLine="0"/>
      <w:jc w:val="center"/>
      <w:outlineLvl w:val="0"/>
    </w:pPr>
    <w:rPr>
      <w:b/>
      <w:smallCaps/>
      <w:kern w:val="28"/>
      <w:sz w:val="28"/>
    </w:rPr>
  </w:style>
  <w:style w:type="paragraph" w:styleId="Titolo2">
    <w:name w:val="heading 2"/>
    <w:basedOn w:val="Normale"/>
    <w:next w:val="Normale"/>
    <w:qFormat/>
    <w:rsid w:val="00D60303"/>
    <w:pPr>
      <w:keepNext/>
      <w:spacing w:before="240" w:after="120"/>
      <w:ind w:firstLine="0"/>
      <w:outlineLvl w:val="1"/>
    </w:pPr>
    <w:rPr>
      <w:rFonts w:cs="Arial"/>
      <w:b/>
      <w:bCs/>
      <w:iCs/>
      <w:sz w:val="24"/>
      <w:szCs w:val="28"/>
    </w:rPr>
  </w:style>
  <w:style w:type="paragraph" w:styleId="Titolo3">
    <w:name w:val="heading 3"/>
    <w:basedOn w:val="Normale"/>
    <w:next w:val="Normale"/>
    <w:qFormat/>
    <w:rsid w:val="00D60303"/>
    <w:pPr>
      <w:keepNext/>
      <w:spacing w:before="180"/>
      <w:outlineLvl w:val="2"/>
    </w:pPr>
    <w:rPr>
      <w:rFonts w:cs="Arial"/>
      <w:b/>
      <w:bCs/>
      <w:i/>
      <w:szCs w:val="26"/>
    </w:rPr>
  </w:style>
  <w:style w:type="paragraph" w:styleId="Titolo4">
    <w:name w:val="heading 4"/>
    <w:basedOn w:val="Normale"/>
    <w:next w:val="Normale"/>
    <w:qFormat/>
    <w:rsid w:val="007845D2"/>
    <w:pPr>
      <w:spacing w:before="120"/>
      <w:ind w:left="284" w:firstLine="0"/>
      <w:outlineLvl w:val="3"/>
    </w:pPr>
    <w:rPr>
      <w:i/>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tapidipagina">
    <w:name w:val="Nota piè di pagina"/>
    <w:basedOn w:val="Testonotaapidipagina"/>
    <w:link w:val="NotapidipaginaCarattere"/>
    <w:rsid w:val="005B1421"/>
  </w:style>
  <w:style w:type="paragraph" w:customStyle="1" w:styleId="Sottotitoloscheda">
    <w:name w:val="Sottotitolo scheda"/>
    <w:basedOn w:val="Normale"/>
    <w:rsid w:val="009E0338"/>
    <w:pPr>
      <w:spacing w:before="0" w:after="240" w:line="240" w:lineRule="auto"/>
      <w:ind w:firstLine="0"/>
      <w:jc w:val="center"/>
    </w:pPr>
    <w:rPr>
      <w:b/>
      <w:bCs/>
      <w:i/>
      <w:iCs/>
      <w:sz w:val="26"/>
    </w:rPr>
  </w:style>
  <w:style w:type="character" w:styleId="Rimandonotaapidipagina">
    <w:name w:val="footnote reference"/>
    <w:aliases w:val="(Footnote Reference),SUPERS,Footnote Reference Number,Footnote Reference_LVL6,Footnote Reference_LVL61,Footnote Reference_LVL62,Footnote Reference_LVL63,Footnote Reference_LVL64,Footnote symbol,Footnote reference number"/>
    <w:uiPriority w:val="99"/>
    <w:qFormat/>
    <w:rsid w:val="00051C5B"/>
    <w:rPr>
      <w:sz w:val="18"/>
      <w:vertAlign w:val="superscript"/>
    </w:rPr>
  </w:style>
  <w:style w:type="paragraph" w:customStyle="1" w:styleId="Puntielenco1livello">
    <w:name w:val="Punti elenco 1° livello"/>
    <w:basedOn w:val="Normale"/>
    <w:link w:val="Puntielenco1livelloCarattere"/>
    <w:rsid w:val="009D17A4"/>
    <w:pPr>
      <w:numPr>
        <w:numId w:val="1"/>
      </w:numPr>
      <w:tabs>
        <w:tab w:val="clear" w:pos="720"/>
        <w:tab w:val="num" w:pos="540"/>
      </w:tabs>
      <w:spacing w:before="20"/>
      <w:ind w:left="568" w:hanging="284"/>
    </w:pPr>
  </w:style>
  <w:style w:type="paragraph" w:styleId="Testonotadichiusura">
    <w:name w:val="endnote text"/>
    <w:basedOn w:val="Normale"/>
    <w:semiHidden/>
    <w:rsid w:val="004F5017"/>
    <w:rPr>
      <w:sz w:val="20"/>
    </w:rPr>
  </w:style>
  <w:style w:type="paragraph" w:styleId="Testonotaapidipagina">
    <w:name w:val="footnote text"/>
    <w:aliases w:val="Footnote Text Char Char,Footnote,Fußnote,FSR footnote,lábléc,Carattere1,Footnote Text Char1 Char,Footnote Text Char2 Char Char Char,Footnote Text Char1 Char Char Char Char,Footnote Text Char Char Char Char Char Char,fn,f"/>
    <w:basedOn w:val="Normale"/>
    <w:link w:val="TestonotaapidipaginaCarattere"/>
    <w:autoRedefine/>
    <w:qFormat/>
    <w:rsid w:val="000A40DA"/>
    <w:pPr>
      <w:tabs>
        <w:tab w:val="left" w:pos="425"/>
      </w:tabs>
      <w:spacing w:before="0" w:line="240" w:lineRule="auto"/>
      <w:ind w:left="425" w:hanging="198"/>
    </w:pPr>
    <w:rPr>
      <w:sz w:val="18"/>
    </w:rPr>
  </w:style>
  <w:style w:type="character" w:customStyle="1" w:styleId="TestonotaapidipaginaCarattere">
    <w:name w:val="Testo nota a piè di pagina Carattere"/>
    <w:aliases w:val="Footnote Text Char Char Carattere,Footnote Carattere,Fußnote Carattere,FSR footnote Carattere,lábléc Carattere,Carattere1 Carattere,Footnote Text Char1 Char Carattere,Footnote Text Char2 Char Char Char Carattere"/>
    <w:link w:val="Testonotaapidipagina"/>
    <w:rsid w:val="000A40DA"/>
    <w:rPr>
      <w:rFonts w:ascii="Arial" w:hAnsi="Arial"/>
      <w:sz w:val="18"/>
      <w:lang w:val="it-IT" w:eastAsia="it-IT" w:bidi="ar-SA"/>
    </w:rPr>
  </w:style>
  <w:style w:type="character" w:customStyle="1" w:styleId="NotapidipaginaCarattere">
    <w:name w:val="Nota piè di pagina Carattere"/>
    <w:basedOn w:val="TestonotaapidipaginaCarattere"/>
    <w:link w:val="Notapidipagina"/>
    <w:rsid w:val="005B1421"/>
    <w:rPr>
      <w:rFonts w:ascii="Arial" w:hAnsi="Arial"/>
      <w:sz w:val="18"/>
      <w:lang w:val="it-IT" w:eastAsia="it-IT" w:bidi="ar-SA"/>
    </w:rPr>
  </w:style>
  <w:style w:type="paragraph" w:styleId="Testofumetto">
    <w:name w:val="Balloon Text"/>
    <w:basedOn w:val="Normale"/>
    <w:semiHidden/>
    <w:rsid w:val="006F5AAD"/>
    <w:rPr>
      <w:rFonts w:ascii="Tahoma" w:hAnsi="Tahoma" w:cs="Tahoma"/>
      <w:sz w:val="16"/>
      <w:szCs w:val="16"/>
    </w:rPr>
  </w:style>
  <w:style w:type="paragraph" w:customStyle="1" w:styleId="Normaleridotto10">
    <w:name w:val="Normale ridotto (10)"/>
    <w:basedOn w:val="Normale"/>
    <w:link w:val="Normaleridotto10Carattere"/>
    <w:rsid w:val="006F5AAD"/>
    <w:rPr>
      <w:sz w:val="20"/>
    </w:rPr>
  </w:style>
  <w:style w:type="character" w:customStyle="1" w:styleId="Normaleridotto10Carattere">
    <w:name w:val="Normale ridotto (10) Carattere"/>
    <w:link w:val="Normaleridotto10"/>
    <w:rsid w:val="006F5AAD"/>
    <w:rPr>
      <w:rFonts w:ascii="Arial" w:hAnsi="Arial"/>
      <w:lang w:val="it-IT" w:eastAsia="it-IT" w:bidi="ar-SA"/>
    </w:rPr>
  </w:style>
  <w:style w:type="paragraph" w:customStyle="1" w:styleId="Puntielenco3livello">
    <w:name w:val="Punti elenco 3° livello"/>
    <w:basedOn w:val="Puntielenco1livello"/>
    <w:rsid w:val="00D60303"/>
    <w:pPr>
      <w:numPr>
        <w:numId w:val="2"/>
      </w:numPr>
      <w:tabs>
        <w:tab w:val="clear" w:pos="1620"/>
        <w:tab w:val="num" w:pos="720"/>
      </w:tabs>
      <w:ind w:left="720" w:hanging="181"/>
    </w:pPr>
    <w:rPr>
      <w:sz w:val="20"/>
    </w:rPr>
  </w:style>
  <w:style w:type="character" w:styleId="Rimandonotadichiusura">
    <w:name w:val="endnote reference"/>
    <w:semiHidden/>
    <w:rsid w:val="004F5017"/>
    <w:rPr>
      <w:vertAlign w:val="superscript"/>
    </w:rPr>
  </w:style>
  <w:style w:type="character" w:customStyle="1" w:styleId="Puntielenco1livelloCarattere">
    <w:name w:val="Punti elenco 1° livello Carattere"/>
    <w:link w:val="Puntielenco1livello"/>
    <w:rsid w:val="005227D4"/>
    <w:rPr>
      <w:rFonts w:ascii="Arial" w:hAnsi="Arial"/>
      <w:sz w:val="22"/>
    </w:rPr>
  </w:style>
  <w:style w:type="paragraph" w:styleId="Pidipagina">
    <w:name w:val="footer"/>
    <w:basedOn w:val="Notapidipagina"/>
    <w:link w:val="PidipaginaCarattere"/>
    <w:uiPriority w:val="99"/>
    <w:rsid w:val="009E0338"/>
  </w:style>
  <w:style w:type="paragraph" w:customStyle="1" w:styleId="Puntielenco2livello">
    <w:name w:val="Punti elenco 2° livello"/>
    <w:basedOn w:val="Puntielenco3livello"/>
    <w:qFormat/>
    <w:rsid w:val="009D17A4"/>
    <w:pPr>
      <w:tabs>
        <w:tab w:val="clear" w:pos="720"/>
        <w:tab w:val="num" w:pos="540"/>
      </w:tabs>
      <w:ind w:left="568" w:hanging="284"/>
    </w:pPr>
  </w:style>
  <w:style w:type="character" w:styleId="Collegamentoipertestuale">
    <w:name w:val="Hyperlink"/>
    <w:aliases w:val=" Char1,Char1,Char11"/>
    <w:uiPriority w:val="99"/>
    <w:unhideWhenUsed/>
    <w:rsid w:val="005227D4"/>
    <w:rPr>
      <w:color w:val="0000FF"/>
      <w:u w:val="single"/>
    </w:rPr>
  </w:style>
  <w:style w:type="character" w:styleId="Collegamentovisitato">
    <w:name w:val="FollowedHyperlink"/>
    <w:rsid w:val="007B7124"/>
    <w:rPr>
      <w:color w:val="800080"/>
      <w:u w:val="single"/>
    </w:rPr>
  </w:style>
  <w:style w:type="paragraph" w:styleId="Intestazione">
    <w:name w:val="header"/>
    <w:basedOn w:val="Normale"/>
    <w:link w:val="IntestazioneCarattere"/>
    <w:unhideWhenUsed/>
    <w:rsid w:val="00F315D3"/>
    <w:pPr>
      <w:tabs>
        <w:tab w:val="center" w:pos="4819"/>
        <w:tab w:val="right" w:pos="9638"/>
      </w:tabs>
      <w:spacing w:before="0" w:line="240" w:lineRule="auto"/>
    </w:pPr>
  </w:style>
  <w:style w:type="character" w:customStyle="1" w:styleId="IntestazioneCarattere">
    <w:name w:val="Intestazione Carattere"/>
    <w:basedOn w:val="Carpredefinitoparagrafo"/>
    <w:link w:val="Intestazione"/>
    <w:uiPriority w:val="99"/>
    <w:rsid w:val="00F315D3"/>
    <w:rPr>
      <w:rFonts w:ascii="Arial" w:hAnsi="Arial"/>
      <w:sz w:val="22"/>
    </w:rPr>
  </w:style>
  <w:style w:type="table" w:styleId="Grigliatabella">
    <w:name w:val="Table Grid"/>
    <w:aliases w:val="Tabella"/>
    <w:basedOn w:val="Tabellanormale"/>
    <w:rsid w:val="00F315D3"/>
    <w:pPr>
      <w:spacing w:line="300" w:lineRule="exact"/>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Punto elenco 1,Lapis Bulleted List,List Paragraph (numbered (a)),List Paragraph12,CV text,Bullets,3,titulo 3,Párrafo de lista1,normal,References,WB List Paragraph,Normal11,Bullet List,Dot pt,No Spacing1,List Paragraph Char Char Char,L"/>
    <w:basedOn w:val="Normale"/>
    <w:link w:val="ParagrafoelencoCarattere"/>
    <w:uiPriority w:val="34"/>
    <w:qFormat/>
    <w:rsid w:val="00443B1F"/>
    <w:pPr>
      <w:ind w:left="720"/>
      <w:contextualSpacing/>
    </w:pPr>
  </w:style>
  <w:style w:type="character" w:customStyle="1" w:styleId="ParagrafoelencoCarattere">
    <w:name w:val="Paragrafo elenco Carattere"/>
    <w:aliases w:val="Punto elenco 1 Carattere,Lapis Bulleted List Carattere,List Paragraph (numbered (a)) Carattere,List Paragraph12 Carattere,CV text Carattere,Bullets Carattere,3 Carattere,titulo 3 Carattere,Párrafo de lista1 Carattere"/>
    <w:basedOn w:val="Carpredefinitoparagrafo"/>
    <w:link w:val="Paragrafoelenco"/>
    <w:uiPriority w:val="34"/>
    <w:qFormat/>
    <w:locked/>
    <w:rsid w:val="00443B1F"/>
    <w:rPr>
      <w:rFonts w:ascii="Arial" w:hAnsi="Arial"/>
      <w:sz w:val="22"/>
    </w:rPr>
  </w:style>
  <w:style w:type="character" w:customStyle="1" w:styleId="PidipaginaCarattere">
    <w:name w:val="Piè di pagina Carattere"/>
    <w:basedOn w:val="Carpredefinitoparagrafo"/>
    <w:link w:val="Pidipagina"/>
    <w:uiPriority w:val="99"/>
    <w:rsid w:val="001F25A4"/>
    <w:rPr>
      <w:rFonts w:ascii="Arial" w:hAnsi="Arial"/>
      <w:sz w:val="18"/>
    </w:rPr>
  </w:style>
  <w:style w:type="character" w:styleId="Enfasicorsivo">
    <w:name w:val="Emphasis"/>
    <w:basedOn w:val="Carpredefinitoparagrafo"/>
    <w:uiPriority w:val="20"/>
    <w:qFormat/>
    <w:rsid w:val="001A4744"/>
    <w:rPr>
      <w:i/>
      <w:iCs/>
    </w:rPr>
  </w:style>
  <w:style w:type="paragraph" w:styleId="NormaleWeb">
    <w:name w:val="Normal (Web)"/>
    <w:basedOn w:val="Normale"/>
    <w:uiPriority w:val="99"/>
    <w:semiHidden/>
    <w:unhideWhenUsed/>
    <w:rsid w:val="00BC4C7E"/>
    <w:pPr>
      <w:spacing w:before="100" w:beforeAutospacing="1" w:after="100" w:afterAutospacing="1" w:line="240" w:lineRule="auto"/>
      <w:ind w:firstLine="0"/>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17420">
      <w:bodyDiv w:val="1"/>
      <w:marLeft w:val="0"/>
      <w:marRight w:val="0"/>
      <w:marTop w:val="0"/>
      <w:marBottom w:val="0"/>
      <w:divBdr>
        <w:top w:val="none" w:sz="0" w:space="0" w:color="auto"/>
        <w:left w:val="none" w:sz="0" w:space="0" w:color="auto"/>
        <w:bottom w:val="none" w:sz="0" w:space="0" w:color="auto"/>
        <w:right w:val="none" w:sz="0" w:space="0" w:color="auto"/>
      </w:divBdr>
    </w:div>
    <w:div w:id="410465966">
      <w:bodyDiv w:val="1"/>
      <w:marLeft w:val="0"/>
      <w:marRight w:val="0"/>
      <w:marTop w:val="0"/>
      <w:marBottom w:val="0"/>
      <w:divBdr>
        <w:top w:val="none" w:sz="0" w:space="0" w:color="auto"/>
        <w:left w:val="none" w:sz="0" w:space="0" w:color="auto"/>
        <w:bottom w:val="none" w:sz="0" w:space="0" w:color="auto"/>
        <w:right w:val="none" w:sz="0" w:space="0" w:color="auto"/>
      </w:divBdr>
      <w:divsChild>
        <w:div w:id="1011756746">
          <w:marLeft w:val="0"/>
          <w:marRight w:val="0"/>
          <w:marTop w:val="0"/>
          <w:marBottom w:val="0"/>
          <w:divBdr>
            <w:top w:val="none" w:sz="0" w:space="0" w:color="auto"/>
            <w:left w:val="none" w:sz="0" w:space="0" w:color="auto"/>
            <w:bottom w:val="none" w:sz="0" w:space="0" w:color="auto"/>
            <w:right w:val="none" w:sz="0" w:space="0" w:color="auto"/>
          </w:divBdr>
        </w:div>
        <w:div w:id="12193490">
          <w:marLeft w:val="0"/>
          <w:marRight w:val="0"/>
          <w:marTop w:val="0"/>
          <w:marBottom w:val="0"/>
          <w:divBdr>
            <w:top w:val="none" w:sz="0" w:space="0" w:color="auto"/>
            <w:left w:val="none" w:sz="0" w:space="0" w:color="auto"/>
            <w:bottom w:val="none" w:sz="0" w:space="0" w:color="auto"/>
            <w:right w:val="none" w:sz="0" w:space="0" w:color="auto"/>
          </w:divBdr>
        </w:div>
      </w:divsChild>
    </w:div>
    <w:div w:id="437410984">
      <w:bodyDiv w:val="1"/>
      <w:marLeft w:val="0"/>
      <w:marRight w:val="0"/>
      <w:marTop w:val="0"/>
      <w:marBottom w:val="0"/>
      <w:divBdr>
        <w:top w:val="none" w:sz="0" w:space="0" w:color="auto"/>
        <w:left w:val="none" w:sz="0" w:space="0" w:color="auto"/>
        <w:bottom w:val="none" w:sz="0" w:space="0" w:color="auto"/>
        <w:right w:val="none" w:sz="0" w:space="0" w:color="auto"/>
      </w:divBdr>
      <w:divsChild>
        <w:div w:id="301234412">
          <w:marLeft w:val="0"/>
          <w:marRight w:val="0"/>
          <w:marTop w:val="0"/>
          <w:marBottom w:val="0"/>
          <w:divBdr>
            <w:top w:val="none" w:sz="0" w:space="0" w:color="auto"/>
            <w:left w:val="none" w:sz="0" w:space="0" w:color="auto"/>
            <w:bottom w:val="none" w:sz="0" w:space="0" w:color="auto"/>
            <w:right w:val="none" w:sz="0" w:space="0" w:color="auto"/>
          </w:divBdr>
          <w:divsChild>
            <w:div w:id="1487360933">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423181286">
          <w:marLeft w:val="0"/>
          <w:marRight w:val="0"/>
          <w:marTop w:val="0"/>
          <w:marBottom w:val="0"/>
          <w:divBdr>
            <w:top w:val="none" w:sz="0" w:space="0" w:color="auto"/>
            <w:left w:val="none" w:sz="0" w:space="0" w:color="auto"/>
            <w:bottom w:val="none" w:sz="0" w:space="0" w:color="auto"/>
            <w:right w:val="none" w:sz="0" w:space="0" w:color="auto"/>
          </w:divBdr>
          <w:divsChild>
            <w:div w:id="621115219">
              <w:marLeft w:val="0"/>
              <w:marRight w:val="0"/>
              <w:marTop w:val="0"/>
              <w:marBottom w:val="0"/>
              <w:divBdr>
                <w:top w:val="single" w:sz="6" w:space="0" w:color="000000"/>
                <w:left w:val="single" w:sz="6" w:space="2" w:color="000000"/>
                <w:bottom w:val="single" w:sz="6" w:space="0" w:color="000000"/>
                <w:right w:val="single" w:sz="6" w:space="2" w:color="000000"/>
              </w:divBdr>
            </w:div>
            <w:div w:id="2145344476">
              <w:marLeft w:val="0"/>
              <w:marRight w:val="0"/>
              <w:marTop w:val="0"/>
              <w:marBottom w:val="0"/>
              <w:divBdr>
                <w:top w:val="single" w:sz="6" w:space="0" w:color="000000"/>
                <w:left w:val="single" w:sz="6" w:space="2" w:color="000000"/>
                <w:bottom w:val="single" w:sz="6" w:space="0" w:color="000000"/>
                <w:right w:val="single" w:sz="6" w:space="2" w:color="000000"/>
              </w:divBdr>
            </w:div>
          </w:divsChild>
        </w:div>
      </w:divsChild>
    </w:div>
    <w:div w:id="533692236">
      <w:bodyDiv w:val="1"/>
      <w:marLeft w:val="0"/>
      <w:marRight w:val="0"/>
      <w:marTop w:val="0"/>
      <w:marBottom w:val="0"/>
      <w:divBdr>
        <w:top w:val="none" w:sz="0" w:space="0" w:color="auto"/>
        <w:left w:val="none" w:sz="0" w:space="0" w:color="auto"/>
        <w:bottom w:val="none" w:sz="0" w:space="0" w:color="auto"/>
        <w:right w:val="none" w:sz="0" w:space="0" w:color="auto"/>
      </w:divBdr>
    </w:div>
    <w:div w:id="768817011">
      <w:bodyDiv w:val="1"/>
      <w:marLeft w:val="0"/>
      <w:marRight w:val="0"/>
      <w:marTop w:val="0"/>
      <w:marBottom w:val="0"/>
      <w:divBdr>
        <w:top w:val="none" w:sz="0" w:space="0" w:color="auto"/>
        <w:left w:val="none" w:sz="0" w:space="0" w:color="auto"/>
        <w:bottom w:val="none" w:sz="0" w:space="0" w:color="auto"/>
        <w:right w:val="none" w:sz="0" w:space="0" w:color="auto"/>
      </w:divBdr>
    </w:div>
    <w:div w:id="912280679">
      <w:bodyDiv w:val="1"/>
      <w:marLeft w:val="0"/>
      <w:marRight w:val="0"/>
      <w:marTop w:val="0"/>
      <w:marBottom w:val="0"/>
      <w:divBdr>
        <w:top w:val="none" w:sz="0" w:space="0" w:color="auto"/>
        <w:left w:val="none" w:sz="0" w:space="0" w:color="auto"/>
        <w:bottom w:val="none" w:sz="0" w:space="0" w:color="auto"/>
        <w:right w:val="none" w:sz="0" w:space="0" w:color="auto"/>
      </w:divBdr>
    </w:div>
    <w:div w:id="1028334051">
      <w:bodyDiv w:val="1"/>
      <w:marLeft w:val="0"/>
      <w:marRight w:val="0"/>
      <w:marTop w:val="0"/>
      <w:marBottom w:val="0"/>
      <w:divBdr>
        <w:top w:val="none" w:sz="0" w:space="0" w:color="auto"/>
        <w:left w:val="none" w:sz="0" w:space="0" w:color="auto"/>
        <w:bottom w:val="none" w:sz="0" w:space="0" w:color="auto"/>
        <w:right w:val="none" w:sz="0" w:space="0" w:color="auto"/>
      </w:divBdr>
    </w:div>
    <w:div w:id="1135754382">
      <w:bodyDiv w:val="1"/>
      <w:marLeft w:val="0"/>
      <w:marRight w:val="0"/>
      <w:marTop w:val="0"/>
      <w:marBottom w:val="0"/>
      <w:divBdr>
        <w:top w:val="none" w:sz="0" w:space="0" w:color="auto"/>
        <w:left w:val="none" w:sz="0" w:space="0" w:color="auto"/>
        <w:bottom w:val="none" w:sz="0" w:space="0" w:color="auto"/>
        <w:right w:val="none" w:sz="0" w:space="0" w:color="auto"/>
      </w:divBdr>
    </w:div>
    <w:div w:id="1246845965">
      <w:bodyDiv w:val="1"/>
      <w:marLeft w:val="0"/>
      <w:marRight w:val="0"/>
      <w:marTop w:val="0"/>
      <w:marBottom w:val="0"/>
      <w:divBdr>
        <w:top w:val="none" w:sz="0" w:space="0" w:color="auto"/>
        <w:left w:val="none" w:sz="0" w:space="0" w:color="auto"/>
        <w:bottom w:val="none" w:sz="0" w:space="0" w:color="auto"/>
        <w:right w:val="none" w:sz="0" w:space="0" w:color="auto"/>
      </w:divBdr>
    </w:div>
    <w:div w:id="1328746629">
      <w:bodyDiv w:val="1"/>
      <w:marLeft w:val="0"/>
      <w:marRight w:val="0"/>
      <w:marTop w:val="0"/>
      <w:marBottom w:val="0"/>
      <w:divBdr>
        <w:top w:val="none" w:sz="0" w:space="0" w:color="auto"/>
        <w:left w:val="none" w:sz="0" w:space="0" w:color="auto"/>
        <w:bottom w:val="none" w:sz="0" w:space="0" w:color="auto"/>
        <w:right w:val="none" w:sz="0" w:space="0" w:color="auto"/>
      </w:divBdr>
    </w:div>
    <w:div w:id="1568371151">
      <w:bodyDiv w:val="1"/>
      <w:marLeft w:val="0"/>
      <w:marRight w:val="0"/>
      <w:marTop w:val="0"/>
      <w:marBottom w:val="0"/>
      <w:divBdr>
        <w:top w:val="none" w:sz="0" w:space="0" w:color="auto"/>
        <w:left w:val="none" w:sz="0" w:space="0" w:color="auto"/>
        <w:bottom w:val="none" w:sz="0" w:space="0" w:color="auto"/>
        <w:right w:val="none" w:sz="0" w:space="0" w:color="auto"/>
      </w:divBdr>
    </w:div>
    <w:div w:id="1703704375">
      <w:bodyDiv w:val="1"/>
      <w:marLeft w:val="0"/>
      <w:marRight w:val="0"/>
      <w:marTop w:val="0"/>
      <w:marBottom w:val="0"/>
      <w:divBdr>
        <w:top w:val="none" w:sz="0" w:space="0" w:color="auto"/>
        <w:left w:val="none" w:sz="0" w:space="0" w:color="auto"/>
        <w:bottom w:val="none" w:sz="0" w:space="0" w:color="auto"/>
        <w:right w:val="none" w:sz="0" w:space="0" w:color="auto"/>
      </w:divBdr>
    </w:div>
    <w:div w:id="1989479560">
      <w:bodyDiv w:val="1"/>
      <w:marLeft w:val="0"/>
      <w:marRight w:val="0"/>
      <w:marTop w:val="0"/>
      <w:marBottom w:val="0"/>
      <w:divBdr>
        <w:top w:val="none" w:sz="0" w:space="0" w:color="auto"/>
        <w:left w:val="none" w:sz="0" w:space="0" w:color="auto"/>
        <w:bottom w:val="none" w:sz="0" w:space="0" w:color="auto"/>
        <w:right w:val="none" w:sz="0" w:space="0" w:color="auto"/>
      </w:divBdr>
      <w:divsChild>
        <w:div w:id="379479784">
          <w:marLeft w:val="0"/>
          <w:marRight w:val="0"/>
          <w:marTop w:val="0"/>
          <w:marBottom w:val="0"/>
          <w:divBdr>
            <w:top w:val="none" w:sz="0" w:space="0" w:color="auto"/>
            <w:left w:val="none" w:sz="0" w:space="0" w:color="auto"/>
            <w:bottom w:val="none" w:sz="0" w:space="0" w:color="auto"/>
            <w:right w:val="none" w:sz="0" w:space="0" w:color="auto"/>
          </w:divBdr>
          <w:divsChild>
            <w:div w:id="1223560554">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399472214">
          <w:marLeft w:val="0"/>
          <w:marRight w:val="0"/>
          <w:marTop w:val="0"/>
          <w:marBottom w:val="0"/>
          <w:divBdr>
            <w:top w:val="none" w:sz="0" w:space="0" w:color="auto"/>
            <w:left w:val="none" w:sz="0" w:space="0" w:color="auto"/>
            <w:bottom w:val="none" w:sz="0" w:space="0" w:color="auto"/>
            <w:right w:val="none" w:sz="0" w:space="0" w:color="auto"/>
          </w:divBdr>
          <w:divsChild>
            <w:div w:id="516820091">
              <w:marLeft w:val="0"/>
              <w:marRight w:val="0"/>
              <w:marTop w:val="0"/>
              <w:marBottom w:val="0"/>
              <w:divBdr>
                <w:top w:val="single" w:sz="6" w:space="0" w:color="000000"/>
                <w:left w:val="single" w:sz="6" w:space="2" w:color="000000"/>
                <w:bottom w:val="single" w:sz="6" w:space="0" w:color="000000"/>
                <w:right w:val="single" w:sz="6" w:space="2" w:color="000000"/>
              </w:divBdr>
            </w:div>
            <w:div w:id="1218317235">
              <w:marLeft w:val="0"/>
              <w:marRight w:val="0"/>
              <w:marTop w:val="0"/>
              <w:marBottom w:val="0"/>
              <w:divBdr>
                <w:top w:val="single" w:sz="6" w:space="0" w:color="000000"/>
                <w:left w:val="single" w:sz="6" w:space="2" w:color="000000"/>
                <w:bottom w:val="single" w:sz="6" w:space="0" w:color="000000"/>
                <w:right w:val="single" w:sz="6" w:space="2" w:color="000000"/>
              </w:divBdr>
            </w:div>
          </w:divsChild>
        </w:div>
      </w:divsChild>
    </w:div>
    <w:div w:id="2034528165">
      <w:bodyDiv w:val="1"/>
      <w:marLeft w:val="0"/>
      <w:marRight w:val="0"/>
      <w:marTop w:val="0"/>
      <w:marBottom w:val="0"/>
      <w:divBdr>
        <w:top w:val="none" w:sz="0" w:space="0" w:color="auto"/>
        <w:left w:val="none" w:sz="0" w:space="0" w:color="auto"/>
        <w:bottom w:val="none" w:sz="0" w:space="0" w:color="auto"/>
        <w:right w:val="none" w:sz="0" w:space="0" w:color="auto"/>
      </w:divBdr>
    </w:div>
    <w:div w:id="2053575863">
      <w:bodyDiv w:val="1"/>
      <w:marLeft w:val="0"/>
      <w:marRight w:val="0"/>
      <w:marTop w:val="0"/>
      <w:marBottom w:val="0"/>
      <w:divBdr>
        <w:top w:val="none" w:sz="0" w:space="0" w:color="auto"/>
        <w:left w:val="none" w:sz="0" w:space="0" w:color="auto"/>
        <w:bottom w:val="none" w:sz="0" w:space="0" w:color="auto"/>
        <w:right w:val="none" w:sz="0" w:space="0" w:color="auto"/>
      </w:divBdr>
      <w:divsChild>
        <w:div w:id="14893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B818D-9608-4AFF-96DE-EC0A4768B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4232</Words>
  <Characters>26063</Characters>
  <Application>Microsoft Office Word</Application>
  <DocSecurity>0</DocSecurity>
  <Lines>217</Lines>
  <Paragraphs>60</Paragraphs>
  <ScaleCrop>false</ScaleCrop>
  <HeadingPairs>
    <vt:vector size="2" baseType="variant">
      <vt:variant>
        <vt:lpstr>Titolo</vt:lpstr>
      </vt:variant>
      <vt:variant>
        <vt:i4>1</vt:i4>
      </vt:variant>
    </vt:vector>
  </HeadingPairs>
  <TitlesOfParts>
    <vt:vector size="1" baseType="lpstr">
      <vt:lpstr>A</vt:lpstr>
    </vt:vector>
  </TitlesOfParts>
  <Company>Camera dei Deputati</Company>
  <LinksUpToDate>false</LinksUpToDate>
  <CharactersWithSpaces>30235</CharactersWithSpaces>
  <SharedDoc>false</SharedDoc>
  <HLinks>
    <vt:vector size="36" baseType="variant">
      <vt:variant>
        <vt:i4>786446</vt:i4>
      </vt:variant>
      <vt:variant>
        <vt:i4>15</vt:i4>
      </vt:variant>
      <vt:variant>
        <vt:i4>0</vt:i4>
      </vt:variant>
      <vt:variant>
        <vt:i4>5</vt:i4>
      </vt:variant>
      <vt:variant>
        <vt:lpwstr>http://eur-lex.europa.eu/legal-content/IT/TXT/PDF/?uri=COM:2015:339:FIN&amp;rid=1</vt:lpwstr>
      </vt:variant>
      <vt:variant>
        <vt:lpwstr/>
      </vt:variant>
      <vt:variant>
        <vt:i4>720903</vt:i4>
      </vt:variant>
      <vt:variant>
        <vt:i4>12</vt:i4>
      </vt:variant>
      <vt:variant>
        <vt:i4>0</vt:i4>
      </vt:variant>
      <vt:variant>
        <vt:i4>5</vt:i4>
      </vt:variant>
      <vt:variant>
        <vt:lpwstr>http://eur-lex.europa.eu/legal-content/IT/TXT/PDF/?uri=COM:2015:340:FIN&amp;rid=1</vt:lpwstr>
      </vt:variant>
      <vt:variant>
        <vt:lpwstr/>
      </vt:variant>
      <vt:variant>
        <vt:i4>7340053</vt:i4>
      </vt:variant>
      <vt:variant>
        <vt:i4>9</vt:i4>
      </vt:variant>
      <vt:variant>
        <vt:i4>0</vt:i4>
      </vt:variant>
      <vt:variant>
        <vt:i4>5</vt:i4>
      </vt:variant>
      <vt:variant>
        <vt:lpwstr>http://eur-lex.europa.eu/resource.html?uri=cellar:e285ab78-2ba4-11e5-9f85-01aa75ed71a1.0013.02/DOC_1&amp;format=PDF</vt:lpwstr>
      </vt:variant>
      <vt:variant>
        <vt:lpwstr/>
      </vt:variant>
      <vt:variant>
        <vt:i4>2424862</vt:i4>
      </vt:variant>
      <vt:variant>
        <vt:i4>6</vt:i4>
      </vt:variant>
      <vt:variant>
        <vt:i4>0</vt:i4>
      </vt:variant>
      <vt:variant>
        <vt:i4>5</vt:i4>
      </vt:variant>
      <vt:variant>
        <vt:lpwstr>http://eur-lex.europa.eu/resource.html?uri=cellar:33f82bac-2bc2-11e5-9f85-01aa75ed71a1.0013.02/DOC_1&amp;format=PDF</vt:lpwstr>
      </vt:variant>
      <vt:variant>
        <vt:lpwstr/>
      </vt:variant>
      <vt:variant>
        <vt:i4>7929929</vt:i4>
      </vt:variant>
      <vt:variant>
        <vt:i4>3</vt:i4>
      </vt:variant>
      <vt:variant>
        <vt:i4>0</vt:i4>
      </vt:variant>
      <vt:variant>
        <vt:i4>5</vt:i4>
      </vt:variant>
      <vt:variant>
        <vt:lpwstr>http://eur-lex.europa.eu/resource.html?uri=cellar:1bd46c90-bdd4-11e4-bbe1-01aa75ed71a1.0018.01/DOC_1&amp;format=PDF</vt:lpwstr>
      </vt:variant>
      <vt:variant>
        <vt:lpwstr/>
      </vt:variant>
      <vt:variant>
        <vt:i4>5963780</vt:i4>
      </vt:variant>
      <vt:variant>
        <vt:i4>0</vt:i4>
      </vt:variant>
      <vt:variant>
        <vt:i4>0</vt:i4>
      </vt:variant>
      <vt:variant>
        <vt:i4>5</vt:i4>
      </vt:variant>
      <vt:variant>
        <vt:lpwstr>http://eur-lex.europa.eu/legal-content/IT/ALL/?uri=CELEX:52011DC0885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Cdd</dc:creator>
  <cp:lastModifiedBy>Cdd</cp:lastModifiedBy>
  <cp:revision>8</cp:revision>
  <cp:lastPrinted>2026-06-12T13:14:00Z</cp:lastPrinted>
  <dcterms:created xsi:type="dcterms:W3CDTF">2026-06-23T08:22:00Z</dcterms:created>
  <dcterms:modified xsi:type="dcterms:W3CDTF">2026-06-23T16:22:00Z</dcterms:modified>
</cp:coreProperties>
</file>